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6B4" w:rsidRDefault="005546B4" w:rsidP="005546B4">
      <w:pPr>
        <w:jc w:val="right"/>
        <w:rPr>
          <w:rFonts w:ascii="Arial" w:hAnsi="Arial" w:cs="Arial"/>
          <w:sz w:val="28"/>
          <w:szCs w:val="28"/>
        </w:rPr>
      </w:pPr>
      <w:bookmarkStart w:id="0" w:name="_GoBack"/>
      <w:bookmarkEnd w:id="0"/>
      <w:r>
        <w:rPr>
          <w:noProof/>
          <w:lang w:eastAsia="en-NZ"/>
        </w:rPr>
        <w:drawing>
          <wp:inline distT="0" distB="0" distL="0" distR="0" wp14:anchorId="6465DADB" wp14:editId="703B69FD">
            <wp:extent cx="2899314" cy="868045"/>
            <wp:effectExtent l="0" t="0" r="0" b="8255"/>
            <wp:docPr id="1" name="Picture 7" descr="cid:image002.jpg@01D487DD.51FA5730"/>
            <wp:cNvGraphicFramePr/>
            <a:graphic xmlns:a="http://schemas.openxmlformats.org/drawingml/2006/main">
              <a:graphicData uri="http://schemas.openxmlformats.org/drawingml/2006/picture">
                <pic:pic xmlns:pic="http://schemas.openxmlformats.org/drawingml/2006/picture">
                  <pic:nvPicPr>
                    <pic:cNvPr id="1" name="Picture 7" descr="cid:image002.jpg@01D487DD.51FA573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422" cy="877658"/>
                    </a:xfrm>
                    <a:prstGeom prst="rect">
                      <a:avLst/>
                    </a:prstGeom>
                    <a:noFill/>
                    <a:ln>
                      <a:noFill/>
                    </a:ln>
                  </pic:spPr>
                </pic:pic>
              </a:graphicData>
            </a:graphic>
          </wp:inline>
        </w:drawing>
      </w:r>
    </w:p>
    <w:p w:rsidR="00566FB5" w:rsidRDefault="00566FB5" w:rsidP="00566FB5">
      <w:pPr>
        <w:pStyle w:val="Spacer"/>
      </w:pPr>
    </w:p>
    <w:p w:rsidR="005546B4" w:rsidRPr="005546B4" w:rsidRDefault="005546B4" w:rsidP="005546B4">
      <w:pPr>
        <w:rPr>
          <w:rFonts w:ascii="Arial" w:hAnsi="Arial" w:cs="Arial"/>
          <w:b/>
          <w:sz w:val="28"/>
          <w:szCs w:val="28"/>
        </w:rPr>
      </w:pPr>
      <w:r w:rsidRPr="005546B4">
        <w:rPr>
          <w:rFonts w:ascii="Arial" w:hAnsi="Arial" w:cs="Arial"/>
          <w:b/>
          <w:sz w:val="28"/>
          <w:szCs w:val="28"/>
        </w:rPr>
        <w:t>The Royal Commission’s commitment to the Treaty of Waitangi</w:t>
      </w:r>
    </w:p>
    <w:p w:rsidR="005546B4" w:rsidRPr="00566FB5" w:rsidRDefault="005546B4" w:rsidP="005546B4">
      <w:pPr>
        <w:pStyle w:val="Spacer"/>
        <w:rPr>
          <w:rFonts w:ascii="Arial" w:hAnsi="Arial" w:cs="Arial"/>
          <w:sz w:val="26"/>
          <w:szCs w:val="26"/>
        </w:rPr>
      </w:pPr>
      <w:r w:rsidRPr="00566FB5">
        <w:rPr>
          <w:rFonts w:ascii="Arial" w:hAnsi="Arial" w:cs="Arial"/>
          <w:sz w:val="26"/>
          <w:szCs w:val="26"/>
        </w:rPr>
        <w:t xml:space="preserve">The Royal Commission will ensure all aspects of the Inquiry are underpinned by and recognise the Treaty of Waitangi and are consistent with New Zealand’s international human rights obligations. This includes:  </w:t>
      </w:r>
    </w:p>
    <w:p w:rsidR="00566FB5" w:rsidRPr="00566FB5" w:rsidRDefault="00566FB5" w:rsidP="005546B4">
      <w:pPr>
        <w:pStyle w:val="Spacer"/>
        <w:rPr>
          <w:rFonts w:ascii="Arial" w:hAnsi="Arial" w:cs="Arial"/>
          <w:sz w:val="26"/>
          <w:szCs w:val="26"/>
        </w:rPr>
      </w:pPr>
    </w:p>
    <w:p w:rsidR="005546B4" w:rsidRPr="00566FB5" w:rsidRDefault="005546B4" w:rsidP="005546B4">
      <w:pPr>
        <w:pStyle w:val="Spacer"/>
        <w:ind w:firstLine="567"/>
        <w:rPr>
          <w:rFonts w:ascii="Arial" w:hAnsi="Arial" w:cs="Arial"/>
          <w:sz w:val="26"/>
          <w:szCs w:val="26"/>
        </w:rPr>
      </w:pPr>
      <w:r w:rsidRPr="00566FB5">
        <w:rPr>
          <w:rFonts w:ascii="Arial" w:hAnsi="Arial" w:cs="Arial"/>
          <w:sz w:val="26"/>
          <w:szCs w:val="26"/>
        </w:rPr>
        <w:t xml:space="preserve">• Private hearings </w:t>
      </w:r>
    </w:p>
    <w:p w:rsidR="00566FB5" w:rsidRPr="00566FB5" w:rsidRDefault="005546B4" w:rsidP="005546B4">
      <w:pPr>
        <w:pStyle w:val="Spacer"/>
        <w:ind w:firstLine="567"/>
        <w:rPr>
          <w:rFonts w:ascii="Arial" w:hAnsi="Arial" w:cs="Arial"/>
          <w:sz w:val="26"/>
          <w:szCs w:val="26"/>
        </w:rPr>
      </w:pPr>
      <w:r w:rsidRPr="00566FB5">
        <w:rPr>
          <w:rFonts w:ascii="Arial" w:hAnsi="Arial" w:cs="Arial"/>
          <w:sz w:val="26"/>
          <w:szCs w:val="26"/>
        </w:rPr>
        <w:t xml:space="preserve">• Public hearings  </w:t>
      </w:r>
    </w:p>
    <w:p w:rsidR="00566FB5" w:rsidRPr="00566FB5" w:rsidRDefault="005546B4" w:rsidP="005546B4">
      <w:pPr>
        <w:pStyle w:val="Spacer"/>
        <w:ind w:firstLine="567"/>
        <w:rPr>
          <w:rFonts w:ascii="Arial" w:hAnsi="Arial" w:cs="Arial"/>
          <w:sz w:val="26"/>
          <w:szCs w:val="26"/>
        </w:rPr>
      </w:pPr>
      <w:r w:rsidRPr="00566FB5">
        <w:rPr>
          <w:rFonts w:ascii="Arial" w:hAnsi="Arial" w:cs="Arial"/>
          <w:sz w:val="26"/>
          <w:szCs w:val="26"/>
        </w:rPr>
        <w:t xml:space="preserve">• Research and policy </w:t>
      </w:r>
    </w:p>
    <w:p w:rsidR="005546B4" w:rsidRPr="00566FB5" w:rsidRDefault="005546B4" w:rsidP="005546B4">
      <w:pPr>
        <w:pStyle w:val="Spacer"/>
        <w:ind w:firstLine="567"/>
        <w:rPr>
          <w:rFonts w:ascii="Arial" w:hAnsi="Arial" w:cs="Arial"/>
          <w:sz w:val="26"/>
          <w:szCs w:val="26"/>
        </w:rPr>
      </w:pPr>
      <w:r w:rsidRPr="00566FB5">
        <w:rPr>
          <w:rFonts w:ascii="Arial" w:hAnsi="Arial" w:cs="Arial"/>
          <w:sz w:val="26"/>
          <w:szCs w:val="26"/>
        </w:rPr>
        <w:t xml:space="preserve">• Communications and engagement  </w:t>
      </w:r>
    </w:p>
    <w:p w:rsidR="00566FB5" w:rsidRPr="00566FB5" w:rsidRDefault="00566FB5" w:rsidP="005546B4">
      <w:pPr>
        <w:pStyle w:val="Spacer"/>
        <w:ind w:firstLine="567"/>
        <w:rPr>
          <w:rFonts w:ascii="Arial" w:hAnsi="Arial" w:cs="Arial"/>
          <w:sz w:val="26"/>
          <w:szCs w:val="26"/>
        </w:rPr>
      </w:pPr>
    </w:p>
    <w:p w:rsidR="00566FB5" w:rsidRPr="00566FB5" w:rsidRDefault="005546B4" w:rsidP="005546B4">
      <w:pPr>
        <w:pStyle w:val="Spacer"/>
        <w:rPr>
          <w:rFonts w:ascii="Arial" w:hAnsi="Arial" w:cs="Arial"/>
          <w:sz w:val="26"/>
          <w:szCs w:val="26"/>
        </w:rPr>
      </w:pPr>
      <w:r w:rsidRPr="00566FB5">
        <w:rPr>
          <w:rFonts w:ascii="Arial" w:hAnsi="Arial" w:cs="Arial"/>
          <w:sz w:val="26"/>
          <w:szCs w:val="26"/>
        </w:rPr>
        <w:t xml:space="preserve">The following Treaty principles will be used to support decisions on engaging and partnering with Māori and iwi: </w:t>
      </w:r>
    </w:p>
    <w:p w:rsidR="00566FB5" w:rsidRPr="00566FB5" w:rsidRDefault="00566FB5" w:rsidP="005546B4">
      <w:pPr>
        <w:pStyle w:val="Spacer"/>
        <w:rPr>
          <w:rFonts w:ascii="Arial" w:hAnsi="Arial" w:cs="Arial"/>
          <w:sz w:val="26"/>
          <w:szCs w:val="26"/>
        </w:rPr>
      </w:pPr>
    </w:p>
    <w:p w:rsidR="00566FB5" w:rsidRPr="00566FB5" w:rsidRDefault="005546B4" w:rsidP="00566FB5">
      <w:pPr>
        <w:pStyle w:val="Spacer"/>
        <w:ind w:left="567"/>
        <w:rPr>
          <w:rFonts w:ascii="Arial" w:hAnsi="Arial" w:cs="Arial"/>
          <w:sz w:val="26"/>
          <w:szCs w:val="26"/>
        </w:rPr>
      </w:pPr>
      <w:r w:rsidRPr="00566FB5">
        <w:rPr>
          <w:rFonts w:ascii="Arial" w:hAnsi="Arial" w:cs="Arial"/>
          <w:sz w:val="26"/>
          <w:szCs w:val="26"/>
        </w:rPr>
        <w:t xml:space="preserve">• </w:t>
      </w:r>
      <w:proofErr w:type="spellStart"/>
      <w:r w:rsidRPr="00566FB5">
        <w:rPr>
          <w:rFonts w:ascii="Arial" w:hAnsi="Arial" w:cs="Arial"/>
          <w:b/>
          <w:sz w:val="26"/>
          <w:szCs w:val="26"/>
        </w:rPr>
        <w:t>Kāwanatanga</w:t>
      </w:r>
      <w:proofErr w:type="spellEnd"/>
      <w:r w:rsidRPr="00566FB5">
        <w:rPr>
          <w:rFonts w:ascii="Arial" w:hAnsi="Arial" w:cs="Arial"/>
          <w:sz w:val="26"/>
          <w:szCs w:val="26"/>
        </w:rPr>
        <w:t xml:space="preserve"> – accord a special recognition to Māori rights and interests, and autonomous Māori institutions, while meeting the terms of reference requirements and applicable laws;  </w:t>
      </w:r>
    </w:p>
    <w:p w:rsidR="00566FB5" w:rsidRPr="00566FB5" w:rsidRDefault="005546B4" w:rsidP="00566FB5">
      <w:pPr>
        <w:pStyle w:val="Spacer"/>
        <w:ind w:left="567"/>
        <w:rPr>
          <w:rFonts w:ascii="Arial" w:hAnsi="Arial" w:cs="Arial"/>
          <w:sz w:val="26"/>
          <w:szCs w:val="26"/>
        </w:rPr>
      </w:pPr>
      <w:r w:rsidRPr="00566FB5">
        <w:rPr>
          <w:rFonts w:ascii="Arial" w:hAnsi="Arial" w:cs="Arial"/>
          <w:sz w:val="26"/>
          <w:szCs w:val="26"/>
        </w:rPr>
        <w:t xml:space="preserve">• </w:t>
      </w:r>
      <w:proofErr w:type="spellStart"/>
      <w:r w:rsidRPr="00566FB5">
        <w:rPr>
          <w:rFonts w:ascii="Arial" w:hAnsi="Arial" w:cs="Arial"/>
          <w:b/>
          <w:sz w:val="26"/>
          <w:szCs w:val="26"/>
        </w:rPr>
        <w:t>Mahitahitanga</w:t>
      </w:r>
      <w:proofErr w:type="spellEnd"/>
      <w:r w:rsidRPr="00566FB5">
        <w:rPr>
          <w:rFonts w:ascii="Arial" w:hAnsi="Arial" w:cs="Arial"/>
          <w:sz w:val="26"/>
          <w:szCs w:val="26"/>
        </w:rPr>
        <w:t xml:space="preserve"> – develop meaningful relationships, undertake genuine consultation and engage in good faith with </w:t>
      </w:r>
      <w:proofErr w:type="spellStart"/>
      <w:r w:rsidRPr="00566FB5">
        <w:rPr>
          <w:rFonts w:ascii="Arial" w:hAnsi="Arial" w:cs="Arial"/>
          <w:sz w:val="26"/>
          <w:szCs w:val="26"/>
        </w:rPr>
        <w:t>whānau</w:t>
      </w:r>
      <w:proofErr w:type="spellEnd"/>
      <w:r w:rsidRPr="00566FB5">
        <w:rPr>
          <w:rFonts w:ascii="Arial" w:hAnsi="Arial" w:cs="Arial"/>
          <w:sz w:val="26"/>
          <w:szCs w:val="26"/>
        </w:rPr>
        <w:t xml:space="preserve">, </w:t>
      </w:r>
      <w:proofErr w:type="spellStart"/>
      <w:r w:rsidRPr="00566FB5">
        <w:rPr>
          <w:rFonts w:ascii="Arial" w:hAnsi="Arial" w:cs="Arial"/>
          <w:sz w:val="26"/>
          <w:szCs w:val="26"/>
        </w:rPr>
        <w:t>hapū</w:t>
      </w:r>
      <w:proofErr w:type="spellEnd"/>
      <w:r w:rsidRPr="00566FB5">
        <w:rPr>
          <w:rFonts w:ascii="Arial" w:hAnsi="Arial" w:cs="Arial"/>
          <w:sz w:val="26"/>
          <w:szCs w:val="26"/>
        </w:rPr>
        <w:t xml:space="preserve"> and iwi Māori organisations in culturally appropriate ways throughout the process; </w:t>
      </w:r>
    </w:p>
    <w:p w:rsidR="00566FB5" w:rsidRPr="00566FB5" w:rsidRDefault="005546B4" w:rsidP="00566FB5">
      <w:pPr>
        <w:pStyle w:val="Spacer"/>
        <w:ind w:left="567"/>
        <w:rPr>
          <w:rFonts w:ascii="Arial" w:hAnsi="Arial" w:cs="Arial"/>
          <w:sz w:val="26"/>
          <w:szCs w:val="26"/>
        </w:rPr>
      </w:pPr>
      <w:r w:rsidRPr="00566FB5">
        <w:rPr>
          <w:rFonts w:ascii="Arial" w:hAnsi="Arial" w:cs="Arial"/>
          <w:sz w:val="26"/>
          <w:szCs w:val="26"/>
        </w:rPr>
        <w:t xml:space="preserve">• </w:t>
      </w:r>
      <w:r w:rsidRPr="00566FB5">
        <w:rPr>
          <w:rFonts w:ascii="Arial" w:hAnsi="Arial" w:cs="Arial"/>
          <w:b/>
          <w:sz w:val="26"/>
          <w:szCs w:val="26"/>
        </w:rPr>
        <w:t>Rangatiratanga</w:t>
      </w:r>
      <w:r w:rsidRPr="00566FB5">
        <w:rPr>
          <w:rFonts w:ascii="Arial" w:hAnsi="Arial" w:cs="Arial"/>
          <w:sz w:val="26"/>
          <w:szCs w:val="26"/>
        </w:rPr>
        <w:t xml:space="preserve"> – recognise the chiefly authority of Māori and their right to pursue self-determination and the protection of taonga including </w:t>
      </w:r>
      <w:proofErr w:type="spellStart"/>
      <w:r w:rsidRPr="00566FB5">
        <w:rPr>
          <w:rFonts w:ascii="Arial" w:hAnsi="Arial" w:cs="Arial"/>
          <w:sz w:val="26"/>
          <w:szCs w:val="26"/>
        </w:rPr>
        <w:t>te</w:t>
      </w:r>
      <w:proofErr w:type="spellEnd"/>
      <w:r w:rsidRPr="00566FB5">
        <w:rPr>
          <w:rFonts w:ascii="Arial" w:hAnsi="Arial" w:cs="Arial"/>
          <w:sz w:val="26"/>
          <w:szCs w:val="26"/>
        </w:rPr>
        <w:t xml:space="preserve"> </w:t>
      </w:r>
      <w:proofErr w:type="spellStart"/>
      <w:r w:rsidRPr="00566FB5">
        <w:rPr>
          <w:rFonts w:ascii="Arial" w:hAnsi="Arial" w:cs="Arial"/>
          <w:sz w:val="26"/>
          <w:szCs w:val="26"/>
        </w:rPr>
        <w:t>reo</w:t>
      </w:r>
      <w:proofErr w:type="spellEnd"/>
      <w:r w:rsidRPr="00566FB5">
        <w:rPr>
          <w:rFonts w:ascii="Arial" w:hAnsi="Arial" w:cs="Arial"/>
          <w:sz w:val="26"/>
          <w:szCs w:val="26"/>
        </w:rPr>
        <w:t xml:space="preserve">, tikanga, </w:t>
      </w:r>
      <w:proofErr w:type="spellStart"/>
      <w:r w:rsidRPr="00566FB5">
        <w:rPr>
          <w:rFonts w:ascii="Arial" w:hAnsi="Arial" w:cs="Arial"/>
          <w:sz w:val="26"/>
          <w:szCs w:val="26"/>
        </w:rPr>
        <w:t>mātauranga</w:t>
      </w:r>
      <w:proofErr w:type="spellEnd"/>
      <w:r w:rsidRPr="00566FB5">
        <w:rPr>
          <w:rFonts w:ascii="Arial" w:hAnsi="Arial" w:cs="Arial"/>
          <w:sz w:val="26"/>
          <w:szCs w:val="26"/>
        </w:rPr>
        <w:t xml:space="preserve"> and Māori institutions;  </w:t>
      </w:r>
    </w:p>
    <w:p w:rsidR="00566FB5" w:rsidRPr="00566FB5" w:rsidRDefault="005546B4" w:rsidP="00566FB5">
      <w:pPr>
        <w:pStyle w:val="Spacer"/>
        <w:ind w:left="567"/>
        <w:rPr>
          <w:rFonts w:ascii="Arial" w:hAnsi="Arial" w:cs="Arial"/>
          <w:sz w:val="26"/>
          <w:szCs w:val="26"/>
        </w:rPr>
      </w:pPr>
      <w:r w:rsidRPr="00566FB5">
        <w:rPr>
          <w:rFonts w:ascii="Arial" w:hAnsi="Arial" w:cs="Arial"/>
          <w:sz w:val="26"/>
          <w:szCs w:val="26"/>
        </w:rPr>
        <w:t xml:space="preserve">• </w:t>
      </w:r>
      <w:proofErr w:type="spellStart"/>
      <w:r w:rsidRPr="00566FB5">
        <w:rPr>
          <w:rFonts w:ascii="Arial" w:hAnsi="Arial" w:cs="Arial"/>
          <w:b/>
          <w:sz w:val="26"/>
          <w:szCs w:val="26"/>
        </w:rPr>
        <w:t>Oritetanga</w:t>
      </w:r>
      <w:proofErr w:type="spellEnd"/>
      <w:r w:rsidRPr="00566FB5">
        <w:rPr>
          <w:rFonts w:ascii="Arial" w:hAnsi="Arial" w:cs="Arial"/>
          <w:sz w:val="26"/>
          <w:szCs w:val="26"/>
        </w:rPr>
        <w:t xml:space="preserve"> – consider equality of opportunities as appropriate and take active measures to restore balance; and </w:t>
      </w:r>
    </w:p>
    <w:p w:rsidR="005546B4" w:rsidRPr="00566FB5" w:rsidRDefault="005546B4" w:rsidP="00566FB5">
      <w:pPr>
        <w:pStyle w:val="Spacer"/>
        <w:ind w:left="567"/>
        <w:rPr>
          <w:rFonts w:ascii="Arial" w:hAnsi="Arial" w:cs="Arial"/>
          <w:sz w:val="26"/>
          <w:szCs w:val="26"/>
        </w:rPr>
      </w:pPr>
      <w:r w:rsidRPr="00566FB5">
        <w:rPr>
          <w:rFonts w:ascii="Arial" w:hAnsi="Arial" w:cs="Arial"/>
          <w:sz w:val="26"/>
          <w:szCs w:val="26"/>
        </w:rPr>
        <w:t xml:space="preserve">• </w:t>
      </w:r>
      <w:proofErr w:type="spellStart"/>
      <w:r w:rsidRPr="00566FB5">
        <w:rPr>
          <w:rFonts w:ascii="Arial" w:hAnsi="Arial" w:cs="Arial"/>
          <w:b/>
          <w:sz w:val="26"/>
          <w:szCs w:val="26"/>
        </w:rPr>
        <w:t>Whakaritenga</w:t>
      </w:r>
      <w:proofErr w:type="spellEnd"/>
      <w:r w:rsidRPr="00566FB5">
        <w:rPr>
          <w:rFonts w:ascii="Arial" w:hAnsi="Arial" w:cs="Arial"/>
          <w:b/>
          <w:sz w:val="26"/>
          <w:szCs w:val="26"/>
        </w:rPr>
        <w:t xml:space="preserve"> </w:t>
      </w:r>
      <w:r w:rsidRPr="00566FB5">
        <w:rPr>
          <w:rFonts w:ascii="Arial" w:hAnsi="Arial" w:cs="Arial"/>
          <w:sz w:val="26"/>
          <w:szCs w:val="26"/>
        </w:rPr>
        <w:t xml:space="preserve">– consider the efficacy of redress recommendations in its report(s) that preserve the dignity of all parties through reconciliation and the restoration of justice.  </w:t>
      </w:r>
    </w:p>
    <w:p w:rsidR="00566FB5" w:rsidRPr="00566FB5" w:rsidRDefault="00566FB5" w:rsidP="00566FB5">
      <w:pPr>
        <w:pStyle w:val="Spacer"/>
        <w:ind w:left="567"/>
        <w:rPr>
          <w:rFonts w:ascii="Arial" w:hAnsi="Arial" w:cs="Arial"/>
          <w:sz w:val="26"/>
          <w:szCs w:val="26"/>
        </w:rPr>
      </w:pPr>
    </w:p>
    <w:p w:rsidR="005546B4" w:rsidRPr="00566FB5" w:rsidRDefault="005546B4" w:rsidP="005546B4">
      <w:pPr>
        <w:pStyle w:val="Spacer"/>
        <w:rPr>
          <w:rFonts w:ascii="Arial" w:hAnsi="Arial" w:cs="Arial"/>
          <w:sz w:val="26"/>
          <w:szCs w:val="26"/>
        </w:rPr>
      </w:pPr>
      <w:r w:rsidRPr="00566FB5">
        <w:rPr>
          <w:rFonts w:ascii="Arial" w:hAnsi="Arial" w:cs="Arial"/>
          <w:sz w:val="26"/>
          <w:szCs w:val="26"/>
        </w:rPr>
        <w:t xml:space="preserve">As a rule of thumb the greater the potential impact of a decision on Māori, the more that needs to be done in terms of engagement, consultation and partnership with Māori. </w:t>
      </w:r>
    </w:p>
    <w:p w:rsidR="00566FB5" w:rsidRPr="00566FB5" w:rsidRDefault="00566FB5" w:rsidP="005546B4">
      <w:pPr>
        <w:pStyle w:val="Spacer"/>
        <w:rPr>
          <w:rFonts w:ascii="Arial" w:hAnsi="Arial" w:cs="Arial"/>
          <w:sz w:val="26"/>
          <w:szCs w:val="26"/>
        </w:rPr>
      </w:pPr>
    </w:p>
    <w:p w:rsidR="00AE478C" w:rsidRPr="00566FB5" w:rsidRDefault="005546B4" w:rsidP="005546B4">
      <w:pPr>
        <w:pStyle w:val="Spacer"/>
        <w:rPr>
          <w:rFonts w:ascii="Arial" w:hAnsi="Arial" w:cs="Arial"/>
          <w:sz w:val="26"/>
          <w:szCs w:val="26"/>
        </w:rPr>
      </w:pPr>
      <w:r w:rsidRPr="00566FB5">
        <w:rPr>
          <w:rFonts w:ascii="Arial" w:hAnsi="Arial" w:cs="Arial"/>
          <w:sz w:val="26"/>
          <w:szCs w:val="26"/>
        </w:rPr>
        <w:t>In adopting this Treaty policy and principles the Royal Commission commits to meeting its international requirements, in particular the United Nations Declaration on the Rights of Indigenous Peoples.</w:t>
      </w:r>
    </w:p>
    <w:sectPr w:rsidR="00AE478C" w:rsidRPr="00566FB5" w:rsidSect="005546B4">
      <w:headerReference w:type="even" r:id="rId9"/>
      <w:headerReference w:type="default" r:id="rId10"/>
      <w:footerReference w:type="even" r:id="rId11"/>
      <w:footerReference w:type="default" r:id="rId12"/>
      <w:headerReference w:type="first" r:id="rId13"/>
      <w:footerReference w:type="first" r:id="rId14"/>
      <w:pgSz w:w="11907" w:h="16840" w:code="9"/>
      <w:pgMar w:top="851"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6B4" w:rsidRDefault="005546B4">
      <w:r>
        <w:separator/>
      </w:r>
    </w:p>
    <w:p w:rsidR="005546B4" w:rsidRDefault="005546B4"/>
    <w:p w:rsidR="005546B4" w:rsidRDefault="005546B4"/>
  </w:endnote>
  <w:endnote w:type="continuationSeparator" w:id="0">
    <w:p w:rsidR="005546B4" w:rsidRDefault="005546B4">
      <w:r>
        <w:continuationSeparator/>
      </w:r>
    </w:p>
    <w:p w:rsidR="005546B4" w:rsidRDefault="005546B4"/>
    <w:p w:rsidR="005546B4" w:rsidRDefault="00554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566FB5">
      <w:rPr>
        <w:noProof/>
      </w:rPr>
      <w:t>1</w:t>
    </w:r>
    <w:r>
      <w:fldChar w:fldCharType="end"/>
    </w:r>
    <w:r>
      <w:t xml:space="preserve"> of </w:t>
    </w:r>
    <w:r w:rsidR="00341468">
      <w:rPr>
        <w:noProof/>
      </w:rPr>
      <w:fldChar w:fldCharType="begin"/>
    </w:r>
    <w:r w:rsidR="00341468">
      <w:rPr>
        <w:noProof/>
      </w:rPr>
      <w:instrText xml:space="preserve"> NUMPAGES   \* MERGEFORMAT </w:instrText>
    </w:r>
    <w:r w:rsidR="00341468">
      <w:rPr>
        <w:noProof/>
      </w:rPr>
      <w:fldChar w:fldCharType="separate"/>
    </w:r>
    <w:r w:rsidR="00566FB5">
      <w:rPr>
        <w:noProof/>
      </w:rPr>
      <w:t>1</w:t>
    </w:r>
    <w:r w:rsidR="0034146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6B4" w:rsidRDefault="005546B4" w:rsidP="00FB1990">
      <w:pPr>
        <w:pStyle w:val="Spacer"/>
      </w:pPr>
      <w:r>
        <w:separator/>
      </w:r>
    </w:p>
    <w:p w:rsidR="005546B4" w:rsidRDefault="005546B4" w:rsidP="00FB1990">
      <w:pPr>
        <w:pStyle w:val="Spacer"/>
      </w:pPr>
    </w:p>
  </w:footnote>
  <w:footnote w:type="continuationSeparator" w:id="0">
    <w:p w:rsidR="005546B4" w:rsidRDefault="005546B4">
      <w:r>
        <w:continuationSeparator/>
      </w:r>
    </w:p>
    <w:p w:rsidR="005546B4" w:rsidRDefault="005546B4"/>
    <w:p w:rsidR="005546B4" w:rsidRDefault="00554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17"/>
  </w:num>
  <w:num w:numId="9">
    <w:abstractNumId w:val="14"/>
  </w:num>
  <w:num w:numId="10">
    <w:abstractNumId w:val="10"/>
  </w:num>
  <w:num w:numId="11">
    <w:abstractNumId w:val="18"/>
  </w:num>
  <w:num w:numId="12">
    <w:abstractNumId w:val="20"/>
  </w:num>
  <w:num w:numId="13">
    <w:abstractNumId w:val="22"/>
  </w:num>
  <w:num w:numId="14">
    <w:abstractNumId w:val="7"/>
  </w:num>
  <w:num w:numId="15">
    <w:abstractNumId w:val="12"/>
  </w:num>
  <w:num w:numId="16">
    <w:abstractNumId w:val="23"/>
  </w:num>
  <w:num w:numId="17">
    <w:abstractNumId w:val="21"/>
  </w:num>
  <w:num w:numId="18">
    <w:abstractNumId w:val="19"/>
  </w:num>
  <w:num w:numId="19">
    <w:abstractNumId w:val="15"/>
  </w:num>
  <w:num w:numId="20">
    <w:abstractNumId w:val="13"/>
  </w:num>
  <w:num w:numId="21">
    <w:abstractNumId w:val="9"/>
  </w:num>
  <w:num w:numId="22">
    <w:abstractNumId w:val="6"/>
  </w:num>
  <w:num w:numId="23">
    <w:abstractNumId w:val="11"/>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B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1468"/>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6B4"/>
    <w:rsid w:val="00554BCD"/>
    <w:rsid w:val="00555F60"/>
    <w:rsid w:val="005605A5"/>
    <w:rsid w:val="00560B3C"/>
    <w:rsid w:val="00561A97"/>
    <w:rsid w:val="00563DAC"/>
    <w:rsid w:val="00566FB5"/>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9A0C3E-70C4-4392-9D7A-3D71F183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lsdException w:name="Balloon Text" w:semiHidden="1" w:unhideWhenUsed="1"/>
    <w:lsdException w:name="Table Grid" w:semiHidden="1" w:uiPriority="0"/>
    <w:lsdException w:name="Table Theme" w:semiHidden="1"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808E0-234C-4DCE-A3BE-DDA3ACC5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Willis</dc:creator>
  <cp:lastModifiedBy>Tim Bollinger</cp:lastModifiedBy>
  <cp:revision>2</cp:revision>
  <cp:lastPrinted>2014-03-27T01:47:00Z</cp:lastPrinted>
  <dcterms:created xsi:type="dcterms:W3CDTF">2019-03-07T23:37:00Z</dcterms:created>
  <dcterms:modified xsi:type="dcterms:W3CDTF">2019-03-07T23:37:00Z</dcterms:modified>
</cp:coreProperties>
</file>