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5D86" w14:textId="77777777" w:rsidR="009F4484" w:rsidRDefault="009F4484" w:rsidP="00603635"/>
    <w:p w14:paraId="13B4A23E" w14:textId="77777777" w:rsidR="009F4484" w:rsidRDefault="009F4484" w:rsidP="00603635"/>
    <w:p w14:paraId="13C0DFB8" w14:textId="77777777" w:rsidR="009F4484" w:rsidRDefault="009F4484" w:rsidP="00603635"/>
    <w:p w14:paraId="69535C59" w14:textId="77777777" w:rsidR="009F4484" w:rsidRDefault="009F4484" w:rsidP="00603635"/>
    <w:p w14:paraId="3E0ABF9D" w14:textId="77777777" w:rsidR="009F4484" w:rsidRPr="007A40FA" w:rsidRDefault="009F4484" w:rsidP="00603635">
      <w:pPr>
        <w:rPr>
          <w:b/>
          <w:sz w:val="40"/>
          <w:szCs w:val="40"/>
        </w:rPr>
      </w:pPr>
      <w:bookmarkStart w:id="0" w:name="_Hlk33776944"/>
      <w:r w:rsidRPr="007A40FA">
        <w:rPr>
          <w:b/>
          <w:sz w:val="40"/>
          <w:szCs w:val="40"/>
        </w:rPr>
        <w:t xml:space="preserve">Royal Commission </w:t>
      </w:r>
      <w:r w:rsidR="007A40FA" w:rsidRPr="007A40FA">
        <w:rPr>
          <w:b/>
          <w:sz w:val="40"/>
          <w:szCs w:val="40"/>
        </w:rPr>
        <w:t>into Historical Abuse in State Care and in the Care of Faith-based Institutions</w:t>
      </w:r>
    </w:p>
    <w:p w14:paraId="3D65B87C" w14:textId="1D877A75" w:rsidR="00AE478C" w:rsidRPr="007A40FA" w:rsidRDefault="00913767" w:rsidP="007A40FA">
      <w:pPr>
        <w:spacing w:after="0"/>
        <w:rPr>
          <w:b/>
          <w:sz w:val="40"/>
          <w:szCs w:val="40"/>
        </w:rPr>
      </w:pPr>
      <w:r>
        <w:rPr>
          <w:b/>
          <w:sz w:val="40"/>
          <w:szCs w:val="40"/>
        </w:rPr>
        <w:t>Quarterly</w:t>
      </w:r>
      <w:r w:rsidR="009F4484" w:rsidRPr="007A40FA">
        <w:rPr>
          <w:b/>
          <w:sz w:val="40"/>
          <w:szCs w:val="40"/>
        </w:rPr>
        <w:t xml:space="preserve"> Report </w:t>
      </w:r>
    </w:p>
    <w:p w14:paraId="02634DB5" w14:textId="38918AAF" w:rsidR="009F4484" w:rsidRPr="009C11AE" w:rsidRDefault="009F4484" w:rsidP="007A40FA">
      <w:pPr>
        <w:spacing w:before="0" w:after="0"/>
        <w:rPr>
          <w:b/>
          <w:sz w:val="40"/>
          <w:szCs w:val="40"/>
        </w:rPr>
      </w:pPr>
      <w:r w:rsidRPr="009C11AE">
        <w:rPr>
          <w:b/>
          <w:sz w:val="40"/>
          <w:szCs w:val="40"/>
        </w:rPr>
        <w:t>As at 3</w:t>
      </w:r>
      <w:r w:rsidR="00ED30E1">
        <w:rPr>
          <w:b/>
          <w:sz w:val="40"/>
          <w:szCs w:val="40"/>
        </w:rPr>
        <w:t xml:space="preserve">1 </w:t>
      </w:r>
      <w:r w:rsidR="005A3D59">
        <w:rPr>
          <w:b/>
          <w:sz w:val="40"/>
          <w:szCs w:val="40"/>
        </w:rPr>
        <w:t>March</w:t>
      </w:r>
      <w:r w:rsidR="00ED30E1">
        <w:rPr>
          <w:b/>
          <w:sz w:val="40"/>
          <w:szCs w:val="40"/>
        </w:rPr>
        <w:t xml:space="preserve"> 20</w:t>
      </w:r>
      <w:r w:rsidR="005A3D59">
        <w:rPr>
          <w:b/>
          <w:sz w:val="40"/>
          <w:szCs w:val="40"/>
        </w:rPr>
        <w:t>20</w:t>
      </w:r>
      <w:r w:rsidR="00ED30E1">
        <w:rPr>
          <w:b/>
          <w:sz w:val="40"/>
          <w:szCs w:val="40"/>
        </w:rPr>
        <w:t xml:space="preserve"> </w:t>
      </w:r>
    </w:p>
    <w:p w14:paraId="36A8D85E" w14:textId="77777777" w:rsidR="009F4484" w:rsidRDefault="009F4484" w:rsidP="00603635"/>
    <w:p w14:paraId="06817029" w14:textId="77777777" w:rsidR="009F4484" w:rsidRDefault="009F4484">
      <w:pPr>
        <w:keepLines w:val="0"/>
      </w:pPr>
      <w:r>
        <w:br w:type="page"/>
      </w:r>
    </w:p>
    <w:p w14:paraId="2EB88F7D" w14:textId="77777777" w:rsidR="007B35AD" w:rsidRPr="004652C3" w:rsidRDefault="007B35AD" w:rsidP="00603635">
      <w:pPr>
        <w:rPr>
          <w:rFonts w:asciiTheme="minorHAnsi" w:hAnsiTheme="minorHAnsi" w:cstheme="minorHAnsi"/>
          <w:b/>
        </w:rPr>
      </w:pPr>
      <w:r w:rsidRPr="004652C3">
        <w:rPr>
          <w:rFonts w:asciiTheme="minorHAnsi" w:hAnsiTheme="minorHAnsi" w:cstheme="minorHAnsi"/>
          <w:b/>
        </w:rPr>
        <w:lastRenderedPageBreak/>
        <w:t>Purpose</w:t>
      </w:r>
    </w:p>
    <w:p w14:paraId="6894FE91" w14:textId="74245E1A" w:rsidR="00BC04FF" w:rsidRPr="004652C3" w:rsidRDefault="00BC04FF" w:rsidP="00BC04FF">
      <w:pPr>
        <w:rPr>
          <w:rFonts w:cs="Calibri"/>
        </w:rPr>
      </w:pPr>
      <w:r w:rsidRPr="004652C3">
        <w:rPr>
          <w:rFonts w:cs="Calibri"/>
        </w:rPr>
        <w:t xml:space="preserve">This report updates you about the high-level activity of the Royal Commission into Historical Abuse in State Care and in the Care of Faith-based Institutions (the </w:t>
      </w:r>
      <w:r w:rsidR="007F4D6E" w:rsidRPr="004652C3">
        <w:rPr>
          <w:rFonts w:cs="Calibri"/>
        </w:rPr>
        <w:t>Inquiry</w:t>
      </w:r>
      <w:r w:rsidRPr="004652C3">
        <w:rPr>
          <w:rFonts w:cs="Calibri"/>
        </w:rPr>
        <w:t xml:space="preserve">) </w:t>
      </w:r>
      <w:r w:rsidR="00BD3187" w:rsidRPr="004652C3">
        <w:rPr>
          <w:rFonts w:cs="Calibri"/>
        </w:rPr>
        <w:t xml:space="preserve">for the quarter ended 31 March 2020 </w:t>
      </w:r>
      <w:r w:rsidRPr="004652C3">
        <w:rPr>
          <w:rFonts w:cs="Calibri"/>
        </w:rPr>
        <w:t>and year-to-date spend through to 3</w:t>
      </w:r>
      <w:r w:rsidR="007E2BAE" w:rsidRPr="004652C3">
        <w:rPr>
          <w:rFonts w:cs="Calibri"/>
        </w:rPr>
        <w:t>1</w:t>
      </w:r>
      <w:r w:rsidR="000816E2" w:rsidRPr="004652C3">
        <w:rPr>
          <w:rFonts w:cs="Calibri"/>
        </w:rPr>
        <w:t xml:space="preserve"> March 2020</w:t>
      </w:r>
      <w:r w:rsidR="007E2BAE" w:rsidRPr="004652C3">
        <w:rPr>
          <w:rFonts w:cs="Calibri"/>
        </w:rPr>
        <w:t>.</w:t>
      </w:r>
      <w:r w:rsidRPr="004652C3">
        <w:rPr>
          <w:rFonts w:cs="Calibri"/>
        </w:rPr>
        <w:t xml:space="preserve"> </w:t>
      </w:r>
    </w:p>
    <w:p w14:paraId="13722DF7" w14:textId="7D54F43B" w:rsidR="000816E2" w:rsidRPr="004652C3" w:rsidRDefault="00941AA2" w:rsidP="00BC04FF">
      <w:pPr>
        <w:rPr>
          <w:rFonts w:cs="Calibri"/>
        </w:rPr>
      </w:pPr>
      <w:r w:rsidRPr="004652C3">
        <w:rPr>
          <w:rFonts w:cs="Calibri"/>
        </w:rPr>
        <w:t xml:space="preserve">In completing this report, we have had regard to the requirements set out in the Ministerial Letter of Expectations for 2019/20 dated 4 March 2020. </w:t>
      </w:r>
      <w:r w:rsidR="000816E2" w:rsidRPr="004652C3">
        <w:rPr>
          <w:rFonts w:cs="Calibri"/>
        </w:rPr>
        <w:t xml:space="preserve">The </w:t>
      </w:r>
      <w:r w:rsidR="007F4D6E" w:rsidRPr="004652C3">
        <w:rPr>
          <w:rFonts w:cs="Calibri"/>
        </w:rPr>
        <w:t>Inquiry’s</w:t>
      </w:r>
      <w:r w:rsidR="000816E2" w:rsidRPr="004652C3">
        <w:rPr>
          <w:rFonts w:cs="Calibri"/>
        </w:rPr>
        <w:t xml:space="preserve"> response to Covid-19 and its impact on the work of the </w:t>
      </w:r>
      <w:r w:rsidR="007F4D6E" w:rsidRPr="004652C3">
        <w:rPr>
          <w:rFonts w:cs="Calibri"/>
        </w:rPr>
        <w:t>Inquiry</w:t>
      </w:r>
      <w:r w:rsidR="000816E2" w:rsidRPr="004652C3">
        <w:rPr>
          <w:rFonts w:cs="Calibri"/>
        </w:rPr>
        <w:t xml:space="preserve"> is the dominant theme running through this report.</w:t>
      </w:r>
    </w:p>
    <w:p w14:paraId="47680E14" w14:textId="114A4261" w:rsidR="009F4484" w:rsidRPr="004652C3" w:rsidRDefault="000816E2" w:rsidP="00603635">
      <w:pPr>
        <w:rPr>
          <w:rFonts w:asciiTheme="minorHAnsi" w:hAnsiTheme="minorHAnsi" w:cstheme="minorHAnsi"/>
          <w:b/>
        </w:rPr>
      </w:pPr>
      <w:r w:rsidRPr="004652C3">
        <w:rPr>
          <w:rFonts w:asciiTheme="minorHAnsi" w:hAnsiTheme="minorHAnsi" w:cstheme="minorHAnsi"/>
          <w:b/>
        </w:rPr>
        <w:t>The Commission’s response to Covid-19</w:t>
      </w:r>
    </w:p>
    <w:p w14:paraId="63AACC81" w14:textId="77777777" w:rsidR="00543B7A" w:rsidRPr="004652C3" w:rsidRDefault="00543B7A" w:rsidP="00543B7A">
      <w:pPr>
        <w:spacing w:before="0" w:after="0"/>
        <w:rPr>
          <w:rFonts w:cs="Calibri"/>
        </w:rPr>
      </w:pPr>
      <w:r w:rsidRPr="004652C3">
        <w:rPr>
          <w:rFonts w:cs="Calibri"/>
        </w:rPr>
        <w:t xml:space="preserve">The Inquiry has responded quickly to the threat of Covid19 with a “people first” approach, while seeking to minimise the impact on operations and to ensure critical work is progressed and delivered.  </w:t>
      </w:r>
    </w:p>
    <w:p w14:paraId="4C5C964D" w14:textId="77777777" w:rsidR="00543B7A" w:rsidRPr="004652C3" w:rsidRDefault="00543B7A" w:rsidP="00543B7A">
      <w:pPr>
        <w:spacing w:before="0" w:after="0"/>
        <w:rPr>
          <w:rFonts w:cs="Calibri"/>
        </w:rPr>
      </w:pPr>
    </w:p>
    <w:p w14:paraId="4BA274CD" w14:textId="77777777" w:rsidR="00543B7A" w:rsidRPr="004652C3" w:rsidRDefault="00543B7A" w:rsidP="00543B7A">
      <w:pPr>
        <w:spacing w:before="0" w:after="0"/>
        <w:rPr>
          <w:rFonts w:cs="Calibri"/>
        </w:rPr>
      </w:pPr>
      <w:r w:rsidRPr="004652C3">
        <w:rPr>
          <w:rFonts w:cs="Calibri"/>
        </w:rPr>
        <w:t xml:space="preserve">The business response has factored in all-of-government guidelines, the advice and policy guidance coming from the Department of Internal Affairs (the Department), the needs and priorities of the Inquiry’s work, the wellbeing and needs of staff and survivors and the ongoing communication with stakeholders (such as SAGE, community organisations, etc). </w:t>
      </w:r>
    </w:p>
    <w:p w14:paraId="52874D2E" w14:textId="77777777" w:rsidR="00543B7A" w:rsidRPr="004652C3" w:rsidRDefault="00543B7A" w:rsidP="00543B7A">
      <w:pPr>
        <w:spacing w:before="0" w:after="0"/>
        <w:rPr>
          <w:rFonts w:cs="Calibri"/>
        </w:rPr>
      </w:pPr>
    </w:p>
    <w:p w14:paraId="4B36B193" w14:textId="3267C898" w:rsidR="00543B7A" w:rsidRPr="004652C3" w:rsidRDefault="00543B7A" w:rsidP="00543B7A">
      <w:pPr>
        <w:spacing w:before="0" w:after="0"/>
        <w:rPr>
          <w:rFonts w:cs="Calibri"/>
        </w:rPr>
      </w:pPr>
      <w:r w:rsidRPr="004652C3">
        <w:rPr>
          <w:rFonts w:cs="Calibri"/>
        </w:rPr>
        <w:t>A Crisis Governance Group, Crisis Management Team and protocols have been stood up to ensure the situation is coordinated, essential resources are allocated, and business functions and services are maintained.</w:t>
      </w:r>
    </w:p>
    <w:p w14:paraId="0C472960" w14:textId="77777777" w:rsidR="00543B7A" w:rsidRPr="004652C3" w:rsidRDefault="00543B7A" w:rsidP="00543B7A">
      <w:pPr>
        <w:pStyle w:val="ListParagraph"/>
        <w:numPr>
          <w:ilvl w:val="0"/>
          <w:numId w:val="0"/>
        </w:numPr>
        <w:spacing w:before="0" w:after="0"/>
        <w:ind w:left="378"/>
        <w:rPr>
          <w:rFonts w:cs="Calibri"/>
        </w:rPr>
      </w:pPr>
    </w:p>
    <w:p w14:paraId="210AFA9B" w14:textId="3AF05500" w:rsidR="00543B7A" w:rsidRPr="004652C3" w:rsidRDefault="00543B7A" w:rsidP="00543B7A">
      <w:pPr>
        <w:spacing w:before="0" w:after="0"/>
        <w:rPr>
          <w:rFonts w:cs="Calibri"/>
        </w:rPr>
      </w:pPr>
      <w:r w:rsidRPr="004652C3">
        <w:rPr>
          <w:rFonts w:cs="Calibri"/>
        </w:rPr>
        <w:t>We have received positive feedback from both staff and the Department for our overall response and for our communicative and people-first approach.</w:t>
      </w:r>
    </w:p>
    <w:p w14:paraId="30F9AAF5" w14:textId="75203731" w:rsidR="00543B7A" w:rsidRPr="004652C3" w:rsidRDefault="00543B7A" w:rsidP="00543B7A">
      <w:pPr>
        <w:spacing w:before="0" w:after="0"/>
        <w:rPr>
          <w:rFonts w:cs="Calibri"/>
        </w:rPr>
      </w:pPr>
    </w:p>
    <w:p w14:paraId="433B55A9" w14:textId="4FB483F8" w:rsidR="00543B7A" w:rsidRPr="004652C3" w:rsidRDefault="00543B7A" w:rsidP="00543B7A">
      <w:pPr>
        <w:spacing w:before="0" w:after="120"/>
        <w:rPr>
          <w:rFonts w:cs="Calibri"/>
        </w:rPr>
      </w:pPr>
      <w:r w:rsidRPr="004652C3">
        <w:rPr>
          <w:rFonts w:cs="Calibri"/>
        </w:rPr>
        <w:t xml:space="preserve">The </w:t>
      </w:r>
      <w:r w:rsidR="007F4D6E" w:rsidRPr="004652C3">
        <w:rPr>
          <w:rFonts w:cs="Calibri"/>
        </w:rPr>
        <w:t>Inquiry</w:t>
      </w:r>
      <w:r w:rsidRPr="004652C3">
        <w:rPr>
          <w:rFonts w:cs="Calibri"/>
        </w:rPr>
        <w:t xml:space="preserve"> has adopted the following principles to guide decision making:</w:t>
      </w:r>
    </w:p>
    <w:p w14:paraId="5652125B" w14:textId="7E4A5AF7" w:rsidR="00543B7A" w:rsidRPr="004652C3" w:rsidRDefault="00543B7A" w:rsidP="00543B7A">
      <w:pPr>
        <w:pStyle w:val="ListParagraph"/>
        <w:numPr>
          <w:ilvl w:val="0"/>
          <w:numId w:val="37"/>
        </w:numPr>
        <w:spacing w:before="0" w:after="120"/>
        <w:rPr>
          <w:rFonts w:eastAsia="Times New Roman" w:cs="Calibri"/>
        </w:rPr>
      </w:pPr>
      <w:r w:rsidRPr="004652C3">
        <w:rPr>
          <w:rFonts w:cs="Calibri"/>
          <w:b/>
        </w:rPr>
        <w:t xml:space="preserve">maintain </w:t>
      </w:r>
      <w:r w:rsidRPr="004652C3">
        <w:rPr>
          <w:rFonts w:cs="Calibri"/>
        </w:rPr>
        <w:t xml:space="preserve">our people-first (staff and survivors) and proactive communication response to the evolving Covid-19 situation; </w:t>
      </w:r>
    </w:p>
    <w:p w14:paraId="2596FE5C" w14:textId="1F273A6D" w:rsidR="00543B7A" w:rsidRPr="004652C3" w:rsidRDefault="00543B7A" w:rsidP="00543B7A">
      <w:pPr>
        <w:pStyle w:val="ListParagraph"/>
        <w:numPr>
          <w:ilvl w:val="0"/>
          <w:numId w:val="37"/>
        </w:numPr>
        <w:spacing w:before="0" w:after="120"/>
        <w:rPr>
          <w:rFonts w:cs="Calibri"/>
        </w:rPr>
      </w:pPr>
      <w:r w:rsidRPr="004652C3">
        <w:rPr>
          <w:rFonts w:cs="Calibri"/>
          <w:b/>
          <w:bCs/>
          <w:iCs/>
        </w:rPr>
        <w:t>deliver</w:t>
      </w:r>
      <w:r w:rsidRPr="004652C3">
        <w:rPr>
          <w:rFonts w:cs="Calibri"/>
          <w:bCs/>
          <w:iCs/>
        </w:rPr>
        <w:t xml:space="preserve"> the Inquiry priorities and deliverables that have been agreed but recognise they may need to be re-planned or re-prioritised and delivered differently with the lens of Covid-19 </w:t>
      </w:r>
      <w:r w:rsidR="00985C80" w:rsidRPr="004652C3">
        <w:rPr>
          <w:rFonts w:cs="Calibri"/>
          <w:bCs/>
          <w:iCs/>
        </w:rPr>
        <w:t>applied;</w:t>
      </w:r>
    </w:p>
    <w:p w14:paraId="2CA8C5F9" w14:textId="283CFC37" w:rsidR="00543B7A" w:rsidRPr="004652C3" w:rsidRDefault="00543B7A" w:rsidP="00543B7A">
      <w:pPr>
        <w:pStyle w:val="ListParagraph"/>
        <w:numPr>
          <w:ilvl w:val="0"/>
          <w:numId w:val="37"/>
        </w:numPr>
        <w:spacing w:before="0" w:after="0"/>
        <w:rPr>
          <w:rFonts w:cs="Calibri"/>
        </w:rPr>
      </w:pPr>
      <w:r w:rsidRPr="004652C3">
        <w:rPr>
          <w:rFonts w:cs="Calibri"/>
          <w:b/>
        </w:rPr>
        <w:t>strengthen</w:t>
      </w:r>
      <w:r w:rsidRPr="004652C3">
        <w:rPr>
          <w:rFonts w:cs="Calibri"/>
        </w:rPr>
        <w:t xml:space="preserve"> strategy and planning by taking the opportunity offered by the slowdown in the Inquiry’s momentum during the lockdown periods to divert spare energy and resources into key strategic areas that require further development.</w:t>
      </w:r>
    </w:p>
    <w:p w14:paraId="115ECFB4" w14:textId="77777777" w:rsidR="00543B7A" w:rsidRPr="004652C3" w:rsidRDefault="00543B7A" w:rsidP="00543B7A">
      <w:pPr>
        <w:spacing w:before="0" w:after="0"/>
        <w:rPr>
          <w:rFonts w:cs="Calibri"/>
        </w:rPr>
      </w:pPr>
    </w:p>
    <w:p w14:paraId="6FF249DC" w14:textId="65615424" w:rsidR="00543B7A" w:rsidRPr="004652C3" w:rsidRDefault="00543B7A" w:rsidP="00543B7A">
      <w:pPr>
        <w:spacing w:before="0" w:after="0"/>
        <w:rPr>
          <w:rFonts w:asciiTheme="minorHAnsi" w:hAnsiTheme="minorHAnsi" w:cstheme="minorHAnsi"/>
          <w:b/>
        </w:rPr>
      </w:pPr>
      <w:r w:rsidRPr="004652C3">
        <w:rPr>
          <w:rFonts w:asciiTheme="minorHAnsi" w:hAnsiTheme="minorHAnsi" w:cstheme="minorHAnsi"/>
          <w:b/>
        </w:rPr>
        <w:t>Key activities continuing during the period</w:t>
      </w:r>
    </w:p>
    <w:p w14:paraId="61E5DEF0" w14:textId="4AA692AD" w:rsidR="00543B7A" w:rsidRPr="004652C3" w:rsidRDefault="00543B7A" w:rsidP="00543B7A">
      <w:pPr>
        <w:spacing w:before="0" w:after="0"/>
        <w:rPr>
          <w:rFonts w:cs="Calibri"/>
        </w:rPr>
      </w:pPr>
    </w:p>
    <w:p w14:paraId="7355C97E" w14:textId="53DE8421" w:rsidR="00543B7A" w:rsidRPr="004652C3" w:rsidRDefault="00543B7A" w:rsidP="00543B7A">
      <w:pPr>
        <w:spacing w:before="0" w:after="0"/>
        <w:rPr>
          <w:rFonts w:cs="Calibri"/>
        </w:rPr>
      </w:pPr>
      <w:r w:rsidRPr="004652C3">
        <w:rPr>
          <w:rFonts w:cs="Calibri"/>
        </w:rPr>
        <w:t>Below is a sample of key activities that continue to be worked on in the period:</w:t>
      </w:r>
    </w:p>
    <w:p w14:paraId="1A7FD662" w14:textId="355032C3" w:rsidR="00543B7A" w:rsidRPr="004652C3" w:rsidRDefault="00543B7A" w:rsidP="00543B7A">
      <w:pPr>
        <w:spacing w:before="0" w:after="0"/>
        <w:rPr>
          <w:rFonts w:cs="Calibri"/>
        </w:rPr>
      </w:pPr>
    </w:p>
    <w:p w14:paraId="14FFE7C7" w14:textId="29DFB2A4" w:rsidR="00543B7A" w:rsidRPr="004652C3" w:rsidRDefault="00543B7A" w:rsidP="00543B7A">
      <w:pPr>
        <w:keepLines w:val="0"/>
        <w:numPr>
          <w:ilvl w:val="0"/>
          <w:numId w:val="38"/>
        </w:numPr>
        <w:spacing w:before="0" w:after="0"/>
        <w:rPr>
          <w:rFonts w:eastAsia="Times New Roman" w:cs="Calibri"/>
        </w:rPr>
      </w:pPr>
      <w:r w:rsidRPr="004652C3">
        <w:rPr>
          <w:rFonts w:eastAsia="Times New Roman" w:cs="Calibri"/>
        </w:rPr>
        <w:t>Maintaining survivor services – primarily contact centre and wellness support</w:t>
      </w:r>
      <w:r w:rsidR="00C2376C" w:rsidRPr="004652C3">
        <w:rPr>
          <w:rFonts w:eastAsia="Times New Roman" w:cs="Calibri"/>
        </w:rPr>
        <w:t>;</w:t>
      </w:r>
    </w:p>
    <w:p w14:paraId="386B70D8" w14:textId="05D4FA80" w:rsidR="00543B7A" w:rsidRPr="004652C3" w:rsidRDefault="00543B7A" w:rsidP="00543B7A">
      <w:pPr>
        <w:keepLines w:val="0"/>
        <w:numPr>
          <w:ilvl w:val="0"/>
          <w:numId w:val="38"/>
        </w:numPr>
        <w:spacing w:before="0" w:after="0"/>
        <w:rPr>
          <w:rFonts w:eastAsia="Times New Roman" w:cs="Calibri"/>
        </w:rPr>
      </w:pPr>
      <w:r w:rsidRPr="004652C3">
        <w:rPr>
          <w:rFonts w:eastAsia="Times New Roman" w:cs="Calibri"/>
        </w:rPr>
        <w:t>Transcribing private sessions held up until March 2020 (360 private sessions of which 100 are transcribed)</w:t>
      </w:r>
      <w:r w:rsidR="00C2376C" w:rsidRPr="004652C3">
        <w:rPr>
          <w:rFonts w:eastAsia="Times New Roman" w:cs="Calibri"/>
        </w:rPr>
        <w:t>;</w:t>
      </w:r>
    </w:p>
    <w:p w14:paraId="5EB2F270" w14:textId="6FA9936F" w:rsidR="00543B7A" w:rsidRPr="004652C3" w:rsidRDefault="00543B7A" w:rsidP="00C2376C">
      <w:pPr>
        <w:keepLines w:val="0"/>
        <w:numPr>
          <w:ilvl w:val="0"/>
          <w:numId w:val="38"/>
        </w:numPr>
        <w:spacing w:before="0" w:after="0"/>
        <w:rPr>
          <w:rFonts w:eastAsia="Times New Roman" w:cs="Calibri"/>
        </w:rPr>
      </w:pPr>
      <w:r w:rsidRPr="004652C3">
        <w:rPr>
          <w:rFonts w:eastAsia="Times New Roman" w:cs="Calibri"/>
        </w:rPr>
        <w:lastRenderedPageBreak/>
        <w:t xml:space="preserve">Developing and implementing private session options for survivors </w:t>
      </w:r>
      <w:r w:rsidR="00C2376C" w:rsidRPr="004652C3">
        <w:rPr>
          <w:rFonts w:eastAsia="Times New Roman" w:cs="Calibri"/>
        </w:rPr>
        <w:t xml:space="preserve">in lieu of face to face sessions </w:t>
      </w:r>
      <w:r w:rsidR="00985C80" w:rsidRPr="004652C3">
        <w:rPr>
          <w:rFonts w:eastAsia="Times New Roman" w:cs="Calibri"/>
        </w:rPr>
        <w:t>e, g</w:t>
      </w:r>
      <w:r w:rsidR="00C2376C" w:rsidRPr="004652C3">
        <w:rPr>
          <w:rFonts w:eastAsia="Times New Roman" w:cs="Calibri"/>
        </w:rPr>
        <w:t xml:space="preserve"> by </w:t>
      </w:r>
      <w:r w:rsidRPr="004652C3">
        <w:rPr>
          <w:rFonts w:eastAsia="Times New Roman" w:cs="Calibri"/>
        </w:rPr>
        <w:t xml:space="preserve">video conference, </w:t>
      </w:r>
      <w:r w:rsidR="00C2376C" w:rsidRPr="004652C3">
        <w:rPr>
          <w:rFonts w:eastAsia="Times New Roman" w:cs="Calibri"/>
        </w:rPr>
        <w:t>audio and the ability to send in written accounts</w:t>
      </w:r>
      <w:r w:rsidR="00A27021" w:rsidRPr="004652C3">
        <w:rPr>
          <w:rFonts w:eastAsia="Times New Roman" w:cs="Calibri"/>
        </w:rPr>
        <w:t>;</w:t>
      </w:r>
      <w:r w:rsidR="00C2376C" w:rsidRPr="004652C3">
        <w:rPr>
          <w:rFonts w:eastAsia="Times New Roman" w:cs="Calibri"/>
        </w:rPr>
        <w:t xml:space="preserve"> </w:t>
      </w:r>
    </w:p>
    <w:p w14:paraId="642B79E6" w14:textId="035000D3" w:rsidR="00543B7A" w:rsidRPr="004652C3" w:rsidRDefault="00C2376C" w:rsidP="00543B7A">
      <w:pPr>
        <w:keepLines w:val="0"/>
        <w:numPr>
          <w:ilvl w:val="0"/>
          <w:numId w:val="38"/>
        </w:numPr>
        <w:spacing w:before="0" w:after="0"/>
        <w:rPr>
          <w:rFonts w:eastAsia="Times New Roman" w:cs="Calibri"/>
        </w:rPr>
      </w:pPr>
      <w:r w:rsidRPr="004652C3">
        <w:rPr>
          <w:rFonts w:eastAsia="Times New Roman" w:cs="Calibri"/>
        </w:rPr>
        <w:t xml:space="preserve">Developing a </w:t>
      </w:r>
      <w:r w:rsidR="00543B7A" w:rsidRPr="004652C3">
        <w:rPr>
          <w:rFonts w:eastAsia="Times New Roman" w:cs="Calibri"/>
        </w:rPr>
        <w:t xml:space="preserve">new </w:t>
      </w:r>
      <w:r w:rsidRPr="004652C3">
        <w:rPr>
          <w:rFonts w:eastAsia="Times New Roman" w:cs="Calibri"/>
        </w:rPr>
        <w:t>counselling</w:t>
      </w:r>
      <w:r w:rsidR="00543B7A" w:rsidRPr="004652C3">
        <w:rPr>
          <w:rFonts w:eastAsia="Times New Roman" w:cs="Calibri"/>
        </w:rPr>
        <w:t xml:space="preserve"> support model </w:t>
      </w:r>
      <w:r w:rsidRPr="004652C3">
        <w:rPr>
          <w:rFonts w:eastAsia="Times New Roman" w:cs="Calibri"/>
        </w:rPr>
        <w:t xml:space="preserve">through partnerships with external providers (with an expected </w:t>
      </w:r>
      <w:bookmarkStart w:id="1" w:name="_GoBack"/>
      <w:bookmarkEnd w:id="1"/>
      <w:r w:rsidRPr="004652C3">
        <w:rPr>
          <w:rFonts w:eastAsia="Times New Roman" w:cs="Calibri"/>
        </w:rPr>
        <w:t xml:space="preserve">approach in place by May 2020) </w:t>
      </w:r>
      <w:r w:rsidR="00543B7A" w:rsidRPr="004652C3">
        <w:rPr>
          <w:rFonts w:eastAsia="Times New Roman" w:cs="Calibri"/>
        </w:rPr>
        <w:t xml:space="preserve">– </w:t>
      </w:r>
      <w:r w:rsidRPr="004652C3">
        <w:rPr>
          <w:rFonts w:eastAsia="Times New Roman" w:cs="Calibri"/>
        </w:rPr>
        <w:t xml:space="preserve">this is in relation to the $15.3M </w:t>
      </w:r>
      <w:r w:rsidR="00A27021" w:rsidRPr="004652C3">
        <w:rPr>
          <w:rFonts w:eastAsia="Times New Roman" w:cs="Calibri"/>
        </w:rPr>
        <w:t xml:space="preserve">set aside for counselling costs in the </w:t>
      </w:r>
      <w:r w:rsidR="00940D8F" w:rsidRPr="004652C3">
        <w:rPr>
          <w:rFonts w:eastAsia="Times New Roman" w:cs="Calibri"/>
        </w:rPr>
        <w:t>Inquiry’s</w:t>
      </w:r>
      <w:r w:rsidR="00A27021" w:rsidRPr="004652C3">
        <w:rPr>
          <w:rFonts w:eastAsia="Times New Roman" w:cs="Calibri"/>
        </w:rPr>
        <w:t xml:space="preserve"> budget;</w:t>
      </w:r>
    </w:p>
    <w:p w14:paraId="4FB2727B" w14:textId="58991894" w:rsidR="00A27021" w:rsidRPr="004652C3" w:rsidRDefault="00A27021" w:rsidP="00543B7A">
      <w:pPr>
        <w:keepLines w:val="0"/>
        <w:numPr>
          <w:ilvl w:val="0"/>
          <w:numId w:val="38"/>
        </w:numPr>
        <w:spacing w:before="0" w:after="0"/>
        <w:rPr>
          <w:rFonts w:eastAsia="Times New Roman" w:cs="Calibri"/>
        </w:rPr>
      </w:pPr>
      <w:r w:rsidRPr="004652C3">
        <w:rPr>
          <w:rFonts w:eastAsia="Times New Roman" w:cs="Calibri"/>
        </w:rPr>
        <w:t>Continuing to collect, analyse and synthesise information required for the development of the Commission’s interim report to the Government;</w:t>
      </w:r>
    </w:p>
    <w:p w14:paraId="5768D373" w14:textId="77777777" w:rsidR="00940D8F" w:rsidRPr="004652C3" w:rsidRDefault="00A27021" w:rsidP="00A27021">
      <w:pPr>
        <w:keepLines w:val="0"/>
        <w:numPr>
          <w:ilvl w:val="0"/>
          <w:numId w:val="38"/>
        </w:numPr>
        <w:spacing w:before="0" w:after="0"/>
        <w:rPr>
          <w:rFonts w:eastAsia="Times New Roman" w:cs="Calibri"/>
        </w:rPr>
      </w:pPr>
      <w:r w:rsidRPr="004652C3">
        <w:rPr>
          <w:rFonts w:eastAsia="Times New Roman" w:cs="Calibri"/>
        </w:rPr>
        <w:t>Developing more detailed strategies for communications and engagement, both proactive and reactive, explain</w:t>
      </w:r>
      <w:r w:rsidR="007F4D6E" w:rsidRPr="004652C3">
        <w:rPr>
          <w:rFonts w:eastAsia="Times New Roman" w:cs="Calibri"/>
        </w:rPr>
        <w:t>ing</w:t>
      </w:r>
      <w:r w:rsidRPr="004652C3">
        <w:rPr>
          <w:rFonts w:eastAsia="Times New Roman" w:cs="Calibri"/>
        </w:rPr>
        <w:t xml:space="preserve"> how</w:t>
      </w:r>
      <w:r w:rsidRPr="004652C3">
        <w:rPr>
          <w:rFonts w:cs="Calibri"/>
        </w:rPr>
        <w:t xml:space="preserve"> we will reach and engage survivors (spectrum of Maori, Pacific people, the disabled community, LGBTQI and service providers</w:t>
      </w:r>
      <w:r w:rsidR="007F4D6E" w:rsidRPr="004652C3">
        <w:rPr>
          <w:rFonts w:cs="Calibri"/>
        </w:rPr>
        <w:t>)</w:t>
      </w:r>
      <w:r w:rsidRPr="004652C3">
        <w:rPr>
          <w:rFonts w:cs="Calibri"/>
        </w:rPr>
        <w:t xml:space="preserve"> across the spectrum of the cohorts in our Terms of Reference</w:t>
      </w:r>
      <w:r w:rsidR="00940D8F" w:rsidRPr="004652C3">
        <w:rPr>
          <w:rFonts w:cs="Calibri"/>
        </w:rPr>
        <w:t>;</w:t>
      </w:r>
    </w:p>
    <w:p w14:paraId="20216B4F" w14:textId="4E9AA3CC" w:rsidR="00940D8F" w:rsidRPr="004652C3" w:rsidRDefault="00940D8F" w:rsidP="00A27021">
      <w:pPr>
        <w:keepLines w:val="0"/>
        <w:numPr>
          <w:ilvl w:val="0"/>
          <w:numId w:val="38"/>
        </w:numPr>
        <w:spacing w:before="0" w:after="0"/>
        <w:rPr>
          <w:rFonts w:eastAsia="Times New Roman" w:cs="Calibri"/>
        </w:rPr>
      </w:pPr>
      <w:r w:rsidRPr="004652C3">
        <w:rPr>
          <w:rFonts w:cs="Calibri"/>
        </w:rPr>
        <w:t>Gathering information on possible options for virtual hearings, and the investigation teams are discussing utilising virtual meeting/hearing technology to run roundtables in 2020;</w:t>
      </w:r>
    </w:p>
    <w:p w14:paraId="1D8ABA67" w14:textId="07AFE82D" w:rsidR="00940D8F" w:rsidRPr="004652C3" w:rsidRDefault="00940D8F" w:rsidP="00A27021">
      <w:pPr>
        <w:keepLines w:val="0"/>
        <w:numPr>
          <w:ilvl w:val="0"/>
          <w:numId w:val="38"/>
        </w:numPr>
        <w:spacing w:before="0" w:after="0"/>
        <w:rPr>
          <w:rFonts w:eastAsia="Times New Roman" w:cs="Calibri"/>
        </w:rPr>
      </w:pPr>
      <w:r w:rsidRPr="004652C3">
        <w:rPr>
          <w:rFonts w:cs="Calibri"/>
        </w:rPr>
        <w:t>Investigative work continues in a limited capacity (refer below).</w:t>
      </w:r>
    </w:p>
    <w:p w14:paraId="60B82F6A" w14:textId="2A9E52E5" w:rsidR="00543B7A" w:rsidRPr="004652C3" w:rsidRDefault="00543B7A" w:rsidP="00543B7A">
      <w:pPr>
        <w:spacing w:before="0" w:after="0"/>
        <w:rPr>
          <w:rFonts w:cs="Calibri"/>
        </w:rPr>
      </w:pPr>
    </w:p>
    <w:p w14:paraId="337BDE3A" w14:textId="55F12D54" w:rsidR="007F4D6E" w:rsidRPr="004652C3" w:rsidRDefault="007F4D6E" w:rsidP="00543B7A">
      <w:pPr>
        <w:spacing w:before="0" w:after="0"/>
        <w:rPr>
          <w:rFonts w:asciiTheme="minorHAnsi" w:hAnsiTheme="minorHAnsi" w:cstheme="minorHAnsi"/>
          <w:b/>
        </w:rPr>
      </w:pPr>
      <w:r w:rsidRPr="004652C3">
        <w:rPr>
          <w:rFonts w:asciiTheme="minorHAnsi" w:hAnsiTheme="minorHAnsi" w:cstheme="minorHAnsi"/>
          <w:b/>
        </w:rPr>
        <w:t>High-level impact of Covid-19 on the Inquiry’s Work Programme</w:t>
      </w:r>
    </w:p>
    <w:p w14:paraId="24083EF1" w14:textId="77777777" w:rsidR="007F4D6E" w:rsidRPr="004652C3" w:rsidRDefault="007F4D6E" w:rsidP="00543B7A">
      <w:pPr>
        <w:spacing w:before="0" w:after="0"/>
        <w:rPr>
          <w:rFonts w:cs="Calibri"/>
        </w:rPr>
      </w:pPr>
    </w:p>
    <w:p w14:paraId="16DEF4F5" w14:textId="56594DB5" w:rsidR="007F4D6E" w:rsidRPr="004652C3" w:rsidRDefault="007F4D6E" w:rsidP="00543B7A">
      <w:pPr>
        <w:spacing w:before="0" w:after="0"/>
        <w:rPr>
          <w:rFonts w:cs="Calibri"/>
        </w:rPr>
      </w:pPr>
      <w:r w:rsidRPr="004652C3">
        <w:rPr>
          <w:rFonts w:cs="Calibri"/>
        </w:rPr>
        <w:t>The Commission has also been assessing the impact of Covid-19 and the Government’s response on the Inquiry’s overall work programme and timelines. We are also anticipating and planning for the possibility of a further wave of Covid-19 infection that could lead to a repeat of L4 and 3 lockdowns.</w:t>
      </w:r>
    </w:p>
    <w:p w14:paraId="5A7F4BF9" w14:textId="60927728" w:rsidR="007F4D6E" w:rsidRPr="004652C3" w:rsidRDefault="007F4D6E" w:rsidP="00543B7A">
      <w:pPr>
        <w:spacing w:before="0" w:after="0"/>
        <w:rPr>
          <w:rFonts w:cs="Calibri"/>
        </w:rPr>
      </w:pPr>
    </w:p>
    <w:p w14:paraId="3627AEC9" w14:textId="685CD271" w:rsidR="007F4D6E" w:rsidRPr="004652C3" w:rsidRDefault="007F4D6E" w:rsidP="007F4D6E">
      <w:pPr>
        <w:spacing w:before="0" w:after="0"/>
        <w:rPr>
          <w:rFonts w:cs="Calibri"/>
        </w:rPr>
      </w:pPr>
      <w:r w:rsidRPr="004652C3">
        <w:rPr>
          <w:rFonts w:cs="Calibri"/>
        </w:rPr>
        <w:t>Following is a summary of the likely impact on the Inquiry work programme on the three key pillars of the Inquiry’s work;</w:t>
      </w:r>
    </w:p>
    <w:p w14:paraId="4C022E17" w14:textId="0AAEF78F" w:rsidR="007F4D6E" w:rsidRPr="004652C3" w:rsidRDefault="007F4D6E" w:rsidP="007F4D6E">
      <w:pPr>
        <w:spacing w:before="0" w:after="0"/>
        <w:rPr>
          <w:rFonts w:cs="Calibri"/>
        </w:rPr>
      </w:pPr>
    </w:p>
    <w:p w14:paraId="1830D9DD" w14:textId="77777777" w:rsidR="007F4D6E" w:rsidRPr="004652C3" w:rsidRDefault="007F4D6E" w:rsidP="007F4D6E">
      <w:pPr>
        <w:spacing w:before="0" w:after="0"/>
        <w:rPr>
          <w:rFonts w:cs="Calibri"/>
          <w:u w:val="single"/>
        </w:rPr>
      </w:pPr>
      <w:r w:rsidRPr="004652C3">
        <w:rPr>
          <w:rFonts w:cs="Calibri"/>
          <w:u w:val="single"/>
        </w:rPr>
        <w:t>Investigations and Public Hearings</w:t>
      </w:r>
    </w:p>
    <w:p w14:paraId="2522A0FE" w14:textId="77777777" w:rsidR="007F4D6E" w:rsidRPr="004652C3" w:rsidRDefault="007F4D6E" w:rsidP="007F4D6E">
      <w:pPr>
        <w:spacing w:before="0" w:after="0"/>
        <w:rPr>
          <w:rFonts w:cs="Calibri"/>
        </w:rPr>
      </w:pPr>
    </w:p>
    <w:p w14:paraId="3C870278" w14:textId="23C4A8FC" w:rsidR="007F4D6E" w:rsidRPr="004652C3" w:rsidRDefault="00D064AB" w:rsidP="00D064AB">
      <w:pPr>
        <w:spacing w:before="0" w:after="0"/>
        <w:rPr>
          <w:rFonts w:cs="Calibri"/>
        </w:rPr>
      </w:pPr>
      <w:r w:rsidRPr="004652C3">
        <w:rPr>
          <w:rFonts w:cs="Calibri"/>
        </w:rPr>
        <w:t>Although investigative work continues, t</w:t>
      </w:r>
      <w:r w:rsidR="007F4D6E" w:rsidRPr="004652C3">
        <w:rPr>
          <w:rFonts w:cs="Calibri"/>
        </w:rPr>
        <w:t xml:space="preserve">he </w:t>
      </w:r>
      <w:r w:rsidRPr="004652C3">
        <w:rPr>
          <w:rFonts w:cs="Calibri"/>
        </w:rPr>
        <w:t>Crown</w:t>
      </w:r>
      <w:r w:rsidR="007F4D6E" w:rsidRPr="004652C3">
        <w:rPr>
          <w:rFonts w:cs="Calibri"/>
        </w:rPr>
        <w:t xml:space="preserve"> has limited capacity to access documents in </w:t>
      </w:r>
      <w:r w:rsidRPr="004652C3">
        <w:rPr>
          <w:rFonts w:cs="Calibri"/>
        </w:rPr>
        <w:t xml:space="preserve">Covid </w:t>
      </w:r>
      <w:r w:rsidR="007F4D6E" w:rsidRPr="004652C3">
        <w:rPr>
          <w:rFonts w:cs="Calibri"/>
        </w:rPr>
        <w:t xml:space="preserve">levels 4 and 3 given its other commitments; </w:t>
      </w:r>
      <w:r w:rsidR="001A2EDE" w:rsidRPr="004652C3">
        <w:rPr>
          <w:rFonts w:cs="Calibri"/>
        </w:rPr>
        <w:t xml:space="preserve">while the Faith-based institutions face challenges, they may not face the same type of restrictions. </w:t>
      </w:r>
      <w:r w:rsidR="007F4D6E" w:rsidRPr="004652C3">
        <w:rPr>
          <w:rFonts w:cs="Calibri"/>
        </w:rPr>
        <w:t xml:space="preserve">While in levels 3 and 4 physically stored information is inaccessible, digitally held documents can be accessed.  </w:t>
      </w:r>
    </w:p>
    <w:p w14:paraId="31FF3706" w14:textId="26EEB434" w:rsidR="00D064AB" w:rsidRPr="004652C3" w:rsidRDefault="00D064AB" w:rsidP="00D064AB">
      <w:pPr>
        <w:spacing w:before="0" w:after="0"/>
        <w:rPr>
          <w:rFonts w:cs="Calibri"/>
        </w:rPr>
      </w:pPr>
    </w:p>
    <w:p w14:paraId="7BD4024D" w14:textId="7289628B" w:rsidR="001A2EDE" w:rsidRPr="004652C3" w:rsidRDefault="00D064AB" w:rsidP="00D064AB">
      <w:pPr>
        <w:spacing w:before="0" w:after="0"/>
        <w:rPr>
          <w:rFonts w:cs="Calibri"/>
        </w:rPr>
      </w:pPr>
      <w:r w:rsidRPr="004652C3">
        <w:rPr>
          <w:rFonts w:cs="Calibri"/>
          <w:color w:val="000000"/>
        </w:rPr>
        <w:t xml:space="preserve">The schedule of public hearings planned for 2020 has been significantly impacted. </w:t>
      </w:r>
      <w:r w:rsidR="001A2EDE" w:rsidRPr="004652C3">
        <w:rPr>
          <w:rFonts w:cs="Calibri"/>
          <w:color w:val="000000"/>
        </w:rPr>
        <w:t xml:space="preserve">The </w:t>
      </w:r>
      <w:r w:rsidR="001A2EDE" w:rsidRPr="004652C3">
        <w:rPr>
          <w:rFonts w:cs="Calibri"/>
        </w:rPr>
        <w:t>Redress hearings to be held in March and May 2020 have now been deferred to begin in September at the earliest. Proposed hearings in the second half of the year for the Māori and Catholic (Marylands School) investigations have also been deferred.</w:t>
      </w:r>
    </w:p>
    <w:p w14:paraId="54C53FF4" w14:textId="77777777" w:rsidR="001A2EDE" w:rsidRPr="004652C3" w:rsidRDefault="001A2EDE" w:rsidP="00D064AB">
      <w:pPr>
        <w:spacing w:before="0" w:after="0"/>
        <w:rPr>
          <w:rFonts w:cs="Calibri"/>
        </w:rPr>
      </w:pPr>
    </w:p>
    <w:p w14:paraId="26F87FAC" w14:textId="056628DD" w:rsidR="00D064AB" w:rsidRPr="004652C3" w:rsidRDefault="00D064AB" w:rsidP="00D064AB">
      <w:pPr>
        <w:spacing w:before="0" w:after="0"/>
        <w:rPr>
          <w:rFonts w:cs="Calibri"/>
          <w:color w:val="000000"/>
        </w:rPr>
      </w:pPr>
      <w:r w:rsidRPr="004652C3">
        <w:rPr>
          <w:rFonts w:cs="Calibri"/>
          <w:color w:val="000000"/>
        </w:rPr>
        <w:t xml:space="preserve">Completion of </w:t>
      </w:r>
      <w:r w:rsidR="007F4D6E" w:rsidRPr="004652C3">
        <w:rPr>
          <w:rFonts w:cs="Calibri"/>
          <w:color w:val="000000"/>
        </w:rPr>
        <w:t xml:space="preserve">work on the Khyber Pass premises </w:t>
      </w:r>
      <w:r w:rsidRPr="004652C3">
        <w:rPr>
          <w:rFonts w:cs="Calibri"/>
          <w:color w:val="000000"/>
        </w:rPr>
        <w:t xml:space="preserve">(including a purpose-built hearing facility) has ceased </w:t>
      </w:r>
      <w:r w:rsidR="007F4D6E" w:rsidRPr="004652C3">
        <w:rPr>
          <w:rFonts w:cs="Calibri"/>
          <w:color w:val="000000"/>
        </w:rPr>
        <w:t>as a result of the level 4 lockdown</w:t>
      </w:r>
      <w:r w:rsidRPr="004652C3">
        <w:rPr>
          <w:rFonts w:cs="Calibri"/>
          <w:color w:val="000000"/>
        </w:rPr>
        <w:t>. U</w:t>
      </w:r>
      <w:r w:rsidR="007F4D6E" w:rsidRPr="004652C3">
        <w:rPr>
          <w:rFonts w:cs="Calibri"/>
          <w:color w:val="000000"/>
        </w:rPr>
        <w:t xml:space="preserve">ncertainty over when that will be restarted means in a “best case” scenario we will be unable to hold public hearings in the new premises before September 2020. </w:t>
      </w:r>
    </w:p>
    <w:p w14:paraId="00C37B3B" w14:textId="77777777" w:rsidR="00D064AB" w:rsidRPr="004652C3" w:rsidRDefault="00D064AB" w:rsidP="00D064AB">
      <w:pPr>
        <w:spacing w:before="0" w:after="0"/>
        <w:rPr>
          <w:rFonts w:cs="Calibri"/>
          <w:color w:val="000000"/>
        </w:rPr>
      </w:pPr>
    </w:p>
    <w:p w14:paraId="3AE7B5CC" w14:textId="2646AF65" w:rsidR="007F4D6E" w:rsidRPr="004652C3" w:rsidRDefault="007F4D6E" w:rsidP="00D064AB">
      <w:pPr>
        <w:spacing w:before="0" w:after="0"/>
        <w:rPr>
          <w:rFonts w:cs="Calibri"/>
        </w:rPr>
      </w:pPr>
      <w:r w:rsidRPr="004652C3">
        <w:rPr>
          <w:rFonts w:cs="Calibri"/>
          <w:color w:val="000000"/>
        </w:rPr>
        <w:lastRenderedPageBreak/>
        <w:t>We are beginning to consider technology options to deliver public hearings, but even if these were possible, a “remote” public hearing is unlikely to deliver the same impact and profile that the Inquiry needs to gain widespread external support and momentum.</w:t>
      </w:r>
    </w:p>
    <w:p w14:paraId="20070553" w14:textId="132A9428" w:rsidR="007F4D6E" w:rsidRPr="004652C3" w:rsidRDefault="007F4D6E" w:rsidP="007F4D6E">
      <w:pPr>
        <w:spacing w:before="0" w:after="0"/>
        <w:rPr>
          <w:rFonts w:cs="Calibri"/>
          <w:u w:val="single"/>
        </w:rPr>
      </w:pPr>
      <w:r w:rsidRPr="004652C3">
        <w:rPr>
          <w:rFonts w:cs="Calibri"/>
          <w:u w:val="single"/>
        </w:rPr>
        <w:t>Survivor Accounts</w:t>
      </w:r>
    </w:p>
    <w:p w14:paraId="48640EB4" w14:textId="77777777" w:rsidR="007F4D6E" w:rsidRPr="004652C3" w:rsidRDefault="007F4D6E" w:rsidP="00D064AB">
      <w:pPr>
        <w:pStyle w:val="ListParagraph"/>
        <w:numPr>
          <w:ilvl w:val="0"/>
          <w:numId w:val="0"/>
        </w:numPr>
        <w:spacing w:before="0" w:after="0"/>
        <w:ind w:left="924"/>
        <w:rPr>
          <w:rFonts w:cs="Calibri"/>
        </w:rPr>
      </w:pPr>
    </w:p>
    <w:p w14:paraId="4194E928" w14:textId="7133C6B3" w:rsidR="007F4D6E" w:rsidRPr="004652C3" w:rsidRDefault="007F4D6E" w:rsidP="00D064AB">
      <w:pPr>
        <w:spacing w:before="0" w:after="0"/>
        <w:rPr>
          <w:rFonts w:cs="Calibri"/>
        </w:rPr>
      </w:pPr>
      <w:r w:rsidRPr="004652C3">
        <w:rPr>
          <w:rFonts w:cs="Calibri"/>
          <w:color w:val="000000"/>
        </w:rPr>
        <w:t>The inability to meet face-to-face with survivors has caused the cancellation of private sessions for April 2020, and private sessions in that format will be unlikely to take place routinely until New Zealand reaches level 1, unless by special “exemption to travel”</w:t>
      </w:r>
      <w:r w:rsidR="00764A6A" w:rsidRPr="004652C3">
        <w:rPr>
          <w:rFonts w:cs="Calibri"/>
          <w:color w:val="000000"/>
        </w:rPr>
        <w:t>.</w:t>
      </w:r>
    </w:p>
    <w:p w14:paraId="08C16E3D" w14:textId="77777777" w:rsidR="007F4D6E" w:rsidRPr="004652C3" w:rsidRDefault="007F4D6E" w:rsidP="00D064AB">
      <w:pPr>
        <w:pStyle w:val="ListParagraph"/>
        <w:numPr>
          <w:ilvl w:val="0"/>
          <w:numId w:val="0"/>
        </w:numPr>
        <w:spacing w:before="0" w:after="0"/>
        <w:ind w:left="360"/>
        <w:rPr>
          <w:rFonts w:cs="Calibri"/>
        </w:rPr>
      </w:pPr>
    </w:p>
    <w:p w14:paraId="7FAED14E" w14:textId="3C14BB6F" w:rsidR="007F4D6E" w:rsidRPr="004652C3" w:rsidRDefault="007F4D6E" w:rsidP="00764A6A">
      <w:pPr>
        <w:spacing w:before="0" w:after="0"/>
        <w:rPr>
          <w:rFonts w:cs="Calibri"/>
        </w:rPr>
      </w:pPr>
      <w:r w:rsidRPr="004652C3">
        <w:rPr>
          <w:rFonts w:cs="Calibri"/>
        </w:rPr>
        <w:t xml:space="preserve">While private sessions via Zoom are currently being designed and the ability to provide written accounts </w:t>
      </w:r>
      <w:r w:rsidR="00764A6A" w:rsidRPr="004652C3">
        <w:rPr>
          <w:rFonts w:cs="Calibri"/>
        </w:rPr>
        <w:t>will soon be</w:t>
      </w:r>
      <w:r w:rsidRPr="004652C3">
        <w:rPr>
          <w:rFonts w:cs="Calibri"/>
        </w:rPr>
        <w:t xml:space="preserve"> available, it is likely that for a number of survivors access to the required technology will be difficult. Others may simply prefer a face-to-face meeting</w:t>
      </w:r>
      <w:r w:rsidR="00DA3344" w:rsidRPr="004652C3">
        <w:rPr>
          <w:rFonts w:cs="Calibri"/>
        </w:rPr>
        <w:t xml:space="preserve"> for cultural or other reasons</w:t>
      </w:r>
      <w:r w:rsidRPr="004652C3">
        <w:rPr>
          <w:rFonts w:cs="Calibri"/>
        </w:rPr>
        <w:t>.</w:t>
      </w:r>
    </w:p>
    <w:p w14:paraId="70A0918C" w14:textId="77777777" w:rsidR="007F4D6E" w:rsidRPr="004652C3" w:rsidRDefault="007F4D6E" w:rsidP="00D064AB">
      <w:pPr>
        <w:spacing w:before="0" w:after="0"/>
        <w:ind w:left="567"/>
        <w:rPr>
          <w:rFonts w:cs="Calibri"/>
        </w:rPr>
      </w:pPr>
    </w:p>
    <w:p w14:paraId="5AFC9D92" w14:textId="50861B50" w:rsidR="007F4D6E" w:rsidRPr="004652C3" w:rsidRDefault="007F4D6E" w:rsidP="00764A6A">
      <w:pPr>
        <w:keepLines w:val="0"/>
        <w:spacing w:before="0" w:after="0"/>
        <w:rPr>
          <w:rFonts w:cs="Calibri"/>
        </w:rPr>
      </w:pPr>
      <w:r w:rsidRPr="004652C3">
        <w:rPr>
          <w:rFonts w:cs="Calibri"/>
        </w:rPr>
        <w:t xml:space="preserve">It is inevitable that the number of planned private sessions for 2020 of 700 will not be achieved and this shortfall will be carried into subsequent years. </w:t>
      </w:r>
    </w:p>
    <w:p w14:paraId="015684CD" w14:textId="77777777" w:rsidR="00764A6A" w:rsidRPr="004652C3" w:rsidRDefault="00764A6A" w:rsidP="00764A6A">
      <w:pPr>
        <w:spacing w:before="0" w:after="0"/>
        <w:rPr>
          <w:rFonts w:cs="Calibri"/>
          <w:u w:val="single"/>
        </w:rPr>
      </w:pPr>
    </w:p>
    <w:p w14:paraId="6623916A" w14:textId="29140D7F" w:rsidR="007F4D6E" w:rsidRPr="004652C3" w:rsidRDefault="007F4D6E" w:rsidP="00764A6A">
      <w:pPr>
        <w:spacing w:before="0" w:after="0"/>
        <w:rPr>
          <w:rFonts w:cs="Calibri"/>
        </w:rPr>
      </w:pPr>
      <w:r w:rsidRPr="004652C3">
        <w:rPr>
          <w:rFonts w:cs="Calibri"/>
          <w:u w:val="single"/>
        </w:rPr>
        <w:t>Policy &amp; Research</w:t>
      </w:r>
    </w:p>
    <w:p w14:paraId="7D8E7C4D" w14:textId="77777777" w:rsidR="007F4D6E" w:rsidRPr="004652C3" w:rsidRDefault="007F4D6E" w:rsidP="00764A6A">
      <w:pPr>
        <w:spacing w:before="0" w:after="0"/>
        <w:ind w:left="924" w:hanging="357"/>
        <w:rPr>
          <w:rFonts w:cs="Calibri"/>
        </w:rPr>
      </w:pPr>
    </w:p>
    <w:p w14:paraId="5E438C48" w14:textId="04EFA585" w:rsidR="007F4D6E" w:rsidRPr="004652C3" w:rsidRDefault="007F4D6E" w:rsidP="00764A6A">
      <w:pPr>
        <w:spacing w:before="0" w:after="0"/>
        <w:rPr>
          <w:rFonts w:cs="Calibri"/>
        </w:rPr>
      </w:pPr>
      <w:r w:rsidRPr="004652C3">
        <w:rPr>
          <w:rFonts w:cs="Calibri"/>
        </w:rPr>
        <w:t xml:space="preserve">Competition for </w:t>
      </w:r>
      <w:r w:rsidR="00764A6A" w:rsidRPr="004652C3">
        <w:rPr>
          <w:rFonts w:cs="Calibri"/>
        </w:rPr>
        <w:t xml:space="preserve">scarce policy and research </w:t>
      </w:r>
      <w:r w:rsidRPr="004652C3">
        <w:rPr>
          <w:rFonts w:cs="Calibri"/>
        </w:rPr>
        <w:t xml:space="preserve">resources has become intense across the Public Sector and the Inquiry does not want to be competing inappropriately with agencies that urgently require this resource as a result of Covid-19. Scaling up Policy &amp; Research to the desired level and therefore delivering on their </w:t>
      </w:r>
      <w:r w:rsidR="00764A6A" w:rsidRPr="004652C3">
        <w:rPr>
          <w:rFonts w:cs="Calibri"/>
        </w:rPr>
        <w:t xml:space="preserve">demanding </w:t>
      </w:r>
      <w:r w:rsidRPr="004652C3">
        <w:rPr>
          <w:rFonts w:cs="Calibri"/>
        </w:rPr>
        <w:t>work programme may take longer than planned.</w:t>
      </w:r>
      <w:r w:rsidR="00DA3344" w:rsidRPr="004652C3">
        <w:rPr>
          <w:rFonts w:cs="Calibri"/>
        </w:rPr>
        <w:t xml:space="preserve"> The Inquiry has already experienced recent examples of people declining these roles as a result of their commitment to their home agency to support the Covid-19 response.</w:t>
      </w:r>
    </w:p>
    <w:p w14:paraId="60699F2A" w14:textId="77777777" w:rsidR="007F4D6E" w:rsidRPr="004652C3" w:rsidRDefault="007F4D6E" w:rsidP="00764A6A">
      <w:pPr>
        <w:pStyle w:val="ListParagraph"/>
        <w:numPr>
          <w:ilvl w:val="0"/>
          <w:numId w:val="0"/>
        </w:numPr>
        <w:spacing w:before="0" w:after="0"/>
        <w:ind w:left="360"/>
        <w:rPr>
          <w:rFonts w:cs="Calibri"/>
        </w:rPr>
      </w:pPr>
    </w:p>
    <w:p w14:paraId="1BE59F89" w14:textId="77777777" w:rsidR="002C1C69" w:rsidRPr="004652C3" w:rsidRDefault="002C1C69" w:rsidP="00764A6A">
      <w:pPr>
        <w:spacing w:before="0" w:after="0"/>
        <w:rPr>
          <w:rFonts w:asciiTheme="minorHAnsi" w:hAnsiTheme="minorHAnsi" w:cstheme="minorHAnsi"/>
          <w:b/>
        </w:rPr>
      </w:pPr>
      <w:r w:rsidRPr="004652C3">
        <w:rPr>
          <w:rFonts w:asciiTheme="minorHAnsi" w:hAnsiTheme="minorHAnsi" w:cstheme="minorHAnsi"/>
          <w:b/>
        </w:rPr>
        <w:t>Community Engagement and Communication</w:t>
      </w:r>
    </w:p>
    <w:p w14:paraId="77DBD769" w14:textId="77777777" w:rsidR="002C1C69" w:rsidRPr="004652C3" w:rsidRDefault="002C1C69" w:rsidP="00764A6A">
      <w:pPr>
        <w:spacing w:before="0" w:after="0"/>
        <w:rPr>
          <w:rFonts w:cs="Calibri"/>
          <w:u w:val="single"/>
        </w:rPr>
      </w:pPr>
    </w:p>
    <w:p w14:paraId="7A328D7F" w14:textId="73220F22" w:rsidR="00DA3344" w:rsidRPr="004652C3" w:rsidRDefault="00DA3344" w:rsidP="00DA3344">
      <w:pPr>
        <w:keepLines w:val="0"/>
        <w:autoSpaceDE w:val="0"/>
        <w:autoSpaceDN w:val="0"/>
        <w:adjustRightInd w:val="0"/>
        <w:spacing w:before="0" w:after="0"/>
        <w:rPr>
          <w:rFonts w:cs="Calibri"/>
          <w:lang w:eastAsia="en-NZ"/>
        </w:rPr>
      </w:pPr>
      <w:r w:rsidRPr="004652C3">
        <w:rPr>
          <w:rFonts w:cs="Calibri"/>
          <w:lang w:eastAsia="en-NZ"/>
        </w:rPr>
        <w:t>The number of community organisations, support groups and networks being engaged by the Inquiry nationwide currently stand as approximately:</w:t>
      </w:r>
    </w:p>
    <w:p w14:paraId="7CAB7419" w14:textId="77777777" w:rsidR="00676615" w:rsidRPr="004652C3" w:rsidRDefault="00676615" w:rsidP="00676615">
      <w:pPr>
        <w:keepLines w:val="0"/>
        <w:autoSpaceDE w:val="0"/>
        <w:autoSpaceDN w:val="0"/>
        <w:adjustRightInd w:val="0"/>
        <w:spacing w:before="0" w:after="0" w:line="120" w:lineRule="auto"/>
        <w:rPr>
          <w:rFonts w:cs="Calibri"/>
          <w:lang w:eastAsia="en-NZ"/>
        </w:rPr>
      </w:pPr>
    </w:p>
    <w:p w14:paraId="006B483D" w14:textId="5DF79047" w:rsidR="00DA3344" w:rsidRPr="004652C3" w:rsidRDefault="00DA3344" w:rsidP="00676615">
      <w:pPr>
        <w:pStyle w:val="ListParagraph"/>
        <w:keepLines w:val="0"/>
        <w:numPr>
          <w:ilvl w:val="0"/>
          <w:numId w:val="40"/>
        </w:numPr>
        <w:autoSpaceDE w:val="0"/>
        <w:autoSpaceDN w:val="0"/>
        <w:adjustRightInd w:val="0"/>
        <w:spacing w:before="0" w:after="115"/>
        <w:ind w:left="709" w:hanging="284"/>
        <w:rPr>
          <w:rFonts w:cs="Calibri"/>
          <w:lang w:eastAsia="en-NZ"/>
        </w:rPr>
      </w:pPr>
      <w:r w:rsidRPr="004652C3">
        <w:rPr>
          <w:rFonts w:cs="Calibri"/>
          <w:lang w:eastAsia="en-NZ"/>
        </w:rPr>
        <w:t xml:space="preserve">80 for disabled and Deaf, </w:t>
      </w:r>
    </w:p>
    <w:p w14:paraId="2EBEEC75" w14:textId="51C09494" w:rsidR="00DA3344" w:rsidRPr="004652C3" w:rsidRDefault="00DA3344" w:rsidP="00676615">
      <w:pPr>
        <w:pStyle w:val="ListParagraph"/>
        <w:keepLines w:val="0"/>
        <w:numPr>
          <w:ilvl w:val="0"/>
          <w:numId w:val="40"/>
        </w:numPr>
        <w:autoSpaceDE w:val="0"/>
        <w:autoSpaceDN w:val="0"/>
        <w:adjustRightInd w:val="0"/>
        <w:spacing w:before="0" w:after="115"/>
        <w:ind w:left="709" w:hanging="284"/>
        <w:rPr>
          <w:rFonts w:cs="Calibri"/>
          <w:lang w:eastAsia="en-NZ"/>
        </w:rPr>
      </w:pPr>
      <w:r w:rsidRPr="004652C3">
        <w:rPr>
          <w:rFonts w:cs="Calibri"/>
          <w:lang w:eastAsia="en-NZ"/>
        </w:rPr>
        <w:t xml:space="preserve">5 for homeless, and </w:t>
      </w:r>
    </w:p>
    <w:p w14:paraId="6D8202FE" w14:textId="73F2018A" w:rsidR="00DA3344" w:rsidRPr="004652C3" w:rsidRDefault="00DA3344" w:rsidP="00676615">
      <w:pPr>
        <w:pStyle w:val="ListParagraph"/>
        <w:keepLines w:val="0"/>
        <w:numPr>
          <w:ilvl w:val="0"/>
          <w:numId w:val="40"/>
        </w:numPr>
        <w:autoSpaceDE w:val="0"/>
        <w:autoSpaceDN w:val="0"/>
        <w:adjustRightInd w:val="0"/>
        <w:spacing w:before="0" w:after="0"/>
        <w:ind w:left="709" w:hanging="284"/>
        <w:rPr>
          <w:rFonts w:cs="Calibri"/>
          <w:lang w:eastAsia="en-NZ"/>
        </w:rPr>
      </w:pPr>
      <w:r w:rsidRPr="004652C3">
        <w:rPr>
          <w:rFonts w:cs="Calibri"/>
          <w:lang w:eastAsia="en-NZ"/>
        </w:rPr>
        <w:t xml:space="preserve">90 for Pasefika. </w:t>
      </w:r>
    </w:p>
    <w:p w14:paraId="4014B699" w14:textId="77777777" w:rsidR="00DA3344" w:rsidRPr="004652C3" w:rsidRDefault="00DA3344" w:rsidP="00764A6A">
      <w:pPr>
        <w:spacing w:before="0" w:after="0"/>
        <w:rPr>
          <w:rFonts w:cs="Calibri"/>
          <w:u w:val="single"/>
        </w:rPr>
      </w:pPr>
    </w:p>
    <w:p w14:paraId="43BA3919" w14:textId="68F54CFA" w:rsidR="00DA3344" w:rsidRPr="004652C3" w:rsidRDefault="00DA3344" w:rsidP="00DA3344">
      <w:pPr>
        <w:keepLines w:val="0"/>
        <w:autoSpaceDE w:val="0"/>
        <w:autoSpaceDN w:val="0"/>
        <w:adjustRightInd w:val="0"/>
        <w:spacing w:before="0" w:after="0"/>
        <w:rPr>
          <w:rFonts w:cs="Calibri"/>
          <w:lang w:eastAsia="en-NZ"/>
        </w:rPr>
      </w:pPr>
      <w:r w:rsidRPr="004652C3">
        <w:rPr>
          <w:rFonts w:cs="Calibri"/>
          <w:lang w:eastAsia="en-NZ"/>
        </w:rPr>
        <w:t xml:space="preserve">To ensure that our relationships are maintained throughout the </w:t>
      </w:r>
      <w:r w:rsidR="00BC2B32" w:rsidRPr="004652C3">
        <w:rPr>
          <w:rFonts w:cs="Calibri"/>
          <w:lang w:eastAsia="en-NZ"/>
        </w:rPr>
        <w:t>response</w:t>
      </w:r>
      <w:r w:rsidRPr="004652C3">
        <w:rPr>
          <w:rFonts w:cs="Calibri"/>
          <w:lang w:eastAsia="en-NZ"/>
        </w:rPr>
        <w:t xml:space="preserve"> </w:t>
      </w:r>
      <w:r w:rsidR="00BC2B32" w:rsidRPr="004652C3">
        <w:rPr>
          <w:rFonts w:cs="Calibri"/>
          <w:lang w:eastAsia="en-NZ"/>
        </w:rPr>
        <w:t>to</w:t>
      </w:r>
      <w:r w:rsidRPr="004652C3">
        <w:rPr>
          <w:rFonts w:cs="Calibri"/>
          <w:lang w:eastAsia="en-NZ"/>
        </w:rPr>
        <w:t xml:space="preserve"> C</w:t>
      </w:r>
      <w:r w:rsidR="00BC2B32" w:rsidRPr="004652C3">
        <w:rPr>
          <w:rFonts w:cs="Calibri"/>
          <w:lang w:eastAsia="en-NZ"/>
        </w:rPr>
        <w:t>ovid</w:t>
      </w:r>
      <w:r w:rsidRPr="004652C3">
        <w:rPr>
          <w:rFonts w:cs="Calibri"/>
          <w:lang w:eastAsia="en-NZ"/>
        </w:rPr>
        <w:t xml:space="preserve">-19 the Community Engagement team have reviewed the impacts it is currently having on our communities and offered support where possible. </w:t>
      </w:r>
      <w:r w:rsidR="00BC2B32" w:rsidRPr="004652C3">
        <w:rPr>
          <w:rFonts w:cs="Calibri"/>
          <w:lang w:eastAsia="en-NZ"/>
        </w:rPr>
        <w:t>Most of</w:t>
      </w:r>
      <w:r w:rsidRPr="004652C3">
        <w:rPr>
          <w:rFonts w:cs="Calibri"/>
          <w:lang w:eastAsia="en-NZ"/>
        </w:rPr>
        <w:t xml:space="preserve"> these organisations are classified as essential services and are noticing an increase demand on their staff and resources. </w:t>
      </w:r>
    </w:p>
    <w:p w14:paraId="146714D3" w14:textId="77777777" w:rsidR="00DA3344" w:rsidRPr="004652C3" w:rsidRDefault="00DA3344" w:rsidP="00DA3344">
      <w:pPr>
        <w:keepLines w:val="0"/>
        <w:autoSpaceDE w:val="0"/>
        <w:autoSpaceDN w:val="0"/>
        <w:adjustRightInd w:val="0"/>
        <w:spacing w:before="0" w:after="0"/>
        <w:rPr>
          <w:rFonts w:cs="Calibri"/>
          <w:lang w:eastAsia="en-NZ"/>
        </w:rPr>
      </w:pPr>
    </w:p>
    <w:p w14:paraId="1C733EC8" w14:textId="5891E0E3" w:rsidR="00DA3344" w:rsidRPr="004652C3" w:rsidRDefault="00DA3344" w:rsidP="00DA3344">
      <w:pPr>
        <w:keepLines w:val="0"/>
        <w:autoSpaceDE w:val="0"/>
        <w:autoSpaceDN w:val="0"/>
        <w:adjustRightInd w:val="0"/>
        <w:spacing w:before="0" w:after="0"/>
        <w:rPr>
          <w:rFonts w:cs="Calibri"/>
          <w:lang w:eastAsia="en-NZ"/>
        </w:rPr>
      </w:pPr>
      <w:r w:rsidRPr="004652C3">
        <w:rPr>
          <w:rFonts w:cs="Calibri"/>
          <w:lang w:eastAsia="en-NZ"/>
        </w:rPr>
        <w:t>The Inquiry acknowledges these organisations’ changing priorities and that for some supporting their people to engage with the Inquiry is not currently a priority.</w:t>
      </w:r>
    </w:p>
    <w:p w14:paraId="6F6D3D67" w14:textId="4CD9898F" w:rsidR="00676615" w:rsidRPr="004652C3" w:rsidRDefault="00676615" w:rsidP="00DA3344">
      <w:pPr>
        <w:keepLines w:val="0"/>
        <w:autoSpaceDE w:val="0"/>
        <w:autoSpaceDN w:val="0"/>
        <w:adjustRightInd w:val="0"/>
        <w:spacing w:before="0" w:after="0"/>
        <w:rPr>
          <w:rFonts w:cs="Calibri"/>
          <w:lang w:eastAsia="en-NZ"/>
        </w:rPr>
      </w:pPr>
    </w:p>
    <w:p w14:paraId="507F1794" w14:textId="4DC3A820" w:rsidR="00676615" w:rsidRPr="004652C3" w:rsidRDefault="00676615" w:rsidP="00DA3344">
      <w:pPr>
        <w:keepLines w:val="0"/>
        <w:autoSpaceDE w:val="0"/>
        <w:autoSpaceDN w:val="0"/>
        <w:adjustRightInd w:val="0"/>
        <w:spacing w:before="0" w:after="0"/>
        <w:rPr>
          <w:rFonts w:cs="Calibri"/>
          <w:lang w:eastAsia="en-NZ"/>
        </w:rPr>
      </w:pPr>
      <w:r w:rsidRPr="004652C3">
        <w:rPr>
          <w:rFonts w:cs="Calibri"/>
          <w:lang w:eastAsia="en-NZ"/>
        </w:rPr>
        <w:t>The Treaty Engagement team continues their work. They have engaged with</w:t>
      </w:r>
    </w:p>
    <w:p w14:paraId="7AF29364" w14:textId="470D6BEC" w:rsidR="00676615" w:rsidRPr="004652C3" w:rsidRDefault="00676615" w:rsidP="00DA3344">
      <w:pPr>
        <w:keepLines w:val="0"/>
        <w:autoSpaceDE w:val="0"/>
        <w:autoSpaceDN w:val="0"/>
        <w:adjustRightInd w:val="0"/>
        <w:spacing w:before="0" w:after="0"/>
        <w:rPr>
          <w:rFonts w:cs="Calibri"/>
          <w:lang w:eastAsia="en-NZ"/>
        </w:rPr>
      </w:pPr>
    </w:p>
    <w:p w14:paraId="6E54B472" w14:textId="1BE6290A" w:rsidR="00676615" w:rsidRPr="004652C3" w:rsidRDefault="00676615" w:rsidP="00676615">
      <w:pPr>
        <w:pStyle w:val="ListParagraph"/>
        <w:keepLines w:val="0"/>
        <w:numPr>
          <w:ilvl w:val="0"/>
          <w:numId w:val="41"/>
        </w:numPr>
        <w:spacing w:before="0" w:after="0"/>
        <w:rPr>
          <w:rFonts w:eastAsia="Times New Roman" w:cs="Calibri"/>
        </w:rPr>
      </w:pPr>
      <w:r w:rsidRPr="004652C3">
        <w:rPr>
          <w:rFonts w:eastAsia="Times New Roman" w:cs="Calibri"/>
        </w:rPr>
        <w:lastRenderedPageBreak/>
        <w:t>8 NGOs, some national and other local, regional entities.</w:t>
      </w:r>
    </w:p>
    <w:p w14:paraId="429B611E" w14:textId="77777777" w:rsidR="00676615" w:rsidRPr="004652C3" w:rsidRDefault="00676615" w:rsidP="00676615">
      <w:pPr>
        <w:pStyle w:val="ListParagraph"/>
        <w:keepLines w:val="0"/>
        <w:numPr>
          <w:ilvl w:val="0"/>
          <w:numId w:val="41"/>
        </w:numPr>
        <w:spacing w:before="0" w:after="0"/>
        <w:rPr>
          <w:rFonts w:eastAsia="Times New Roman" w:cs="Calibri"/>
        </w:rPr>
      </w:pPr>
      <w:r w:rsidRPr="004652C3">
        <w:rPr>
          <w:rFonts w:eastAsia="Times New Roman" w:cs="Calibri"/>
        </w:rPr>
        <w:t>Māori leaders from across the country who we designed our approach with.</w:t>
      </w:r>
    </w:p>
    <w:p w14:paraId="79F9CB79" w14:textId="77777777" w:rsidR="00676615" w:rsidRPr="004652C3" w:rsidRDefault="00676615" w:rsidP="00676615">
      <w:pPr>
        <w:pStyle w:val="ListParagraph"/>
        <w:keepLines w:val="0"/>
        <w:numPr>
          <w:ilvl w:val="0"/>
          <w:numId w:val="41"/>
        </w:numPr>
        <w:spacing w:before="0" w:after="0"/>
        <w:rPr>
          <w:rFonts w:eastAsia="Times New Roman" w:cs="Calibri"/>
        </w:rPr>
      </w:pPr>
      <w:r w:rsidRPr="004652C3">
        <w:rPr>
          <w:rFonts w:eastAsia="Times New Roman" w:cs="Calibri"/>
        </w:rPr>
        <w:t>Iwi organisations (Te Ātiawa, Ngā Muaupoko, Ngāti Whātua kei Ōrākei, Te Rarawa, Ngāi Tahu, Ngāti Whātua, Ngāti Rangi and Te Arawa). Some iwi have indicated high interest while others are a ‘wait and see’.</w:t>
      </w:r>
    </w:p>
    <w:p w14:paraId="5DE989E6" w14:textId="01CBB089" w:rsidR="00676615" w:rsidRPr="004652C3" w:rsidRDefault="00676615" w:rsidP="00676615">
      <w:pPr>
        <w:pStyle w:val="ListParagraph"/>
        <w:keepLines w:val="0"/>
        <w:numPr>
          <w:ilvl w:val="0"/>
          <w:numId w:val="41"/>
        </w:numPr>
        <w:spacing w:before="0" w:after="0"/>
        <w:rPr>
          <w:rFonts w:eastAsia="Times New Roman" w:cs="Calibri"/>
        </w:rPr>
      </w:pPr>
      <w:r w:rsidRPr="004652C3">
        <w:rPr>
          <w:rFonts w:cs="Calibri"/>
        </w:rPr>
        <w:t xml:space="preserve">Completed the first survivor-led hui which resulted in 9 registrations. </w:t>
      </w:r>
      <w:r w:rsidRPr="004652C3">
        <w:rPr>
          <w:rFonts w:eastAsia="Times New Roman" w:cs="Calibri"/>
        </w:rPr>
        <w:t xml:space="preserve"> </w:t>
      </w:r>
    </w:p>
    <w:p w14:paraId="01CE3FB8" w14:textId="606F28A5" w:rsidR="002C1C69" w:rsidRPr="004652C3" w:rsidRDefault="002C1C69" w:rsidP="00DA3344">
      <w:pPr>
        <w:keepLines w:val="0"/>
        <w:autoSpaceDE w:val="0"/>
        <w:autoSpaceDN w:val="0"/>
        <w:adjustRightInd w:val="0"/>
        <w:spacing w:before="0" w:after="0"/>
        <w:rPr>
          <w:rFonts w:cs="Calibri"/>
          <w:u w:val="single"/>
          <w:lang w:eastAsia="en-NZ"/>
        </w:rPr>
      </w:pPr>
    </w:p>
    <w:p w14:paraId="237721A1" w14:textId="75226CD4" w:rsidR="002C1C69" w:rsidRPr="004652C3" w:rsidRDefault="002C1C69" w:rsidP="00DA3344">
      <w:pPr>
        <w:keepLines w:val="0"/>
        <w:autoSpaceDE w:val="0"/>
        <w:autoSpaceDN w:val="0"/>
        <w:adjustRightInd w:val="0"/>
        <w:spacing w:before="0" w:after="0"/>
        <w:rPr>
          <w:rFonts w:cs="Calibri"/>
          <w:lang w:eastAsia="en-NZ"/>
        </w:rPr>
      </w:pPr>
      <w:r w:rsidRPr="004652C3">
        <w:rPr>
          <w:rFonts w:cs="Calibri"/>
          <w:lang w:eastAsia="en-NZ"/>
        </w:rPr>
        <w:t>Important Communication activities for the quarter included:</w:t>
      </w:r>
    </w:p>
    <w:p w14:paraId="5F138C6D" w14:textId="77777777" w:rsidR="00BC2B32" w:rsidRPr="004652C3" w:rsidRDefault="00BC2B32" w:rsidP="00764A6A">
      <w:pPr>
        <w:spacing w:before="0" w:after="0"/>
        <w:rPr>
          <w:rFonts w:cs="Calibri"/>
          <w:b/>
        </w:rPr>
      </w:pPr>
    </w:p>
    <w:p w14:paraId="3A48AE37" w14:textId="77777777" w:rsidR="002C1C69" w:rsidRPr="004652C3" w:rsidRDefault="002C1C69" w:rsidP="002C1C69">
      <w:pPr>
        <w:pStyle w:val="ListParagraph"/>
        <w:keepLines w:val="0"/>
        <w:numPr>
          <w:ilvl w:val="3"/>
          <w:numId w:val="44"/>
        </w:numPr>
        <w:ind w:left="709" w:hanging="425"/>
        <w:rPr>
          <w:rFonts w:cs="Calibri"/>
        </w:rPr>
      </w:pPr>
      <w:r w:rsidRPr="004652C3">
        <w:rPr>
          <w:rFonts w:cs="Calibri"/>
        </w:rPr>
        <w:t xml:space="preserve">The Royal Commission was mentioned 25 times in the media in March. This coverage reached a cumulative audience of 592,943 and if paid for in advertising would have cost $111.2k. </w:t>
      </w:r>
    </w:p>
    <w:p w14:paraId="1150426F" w14:textId="77777777" w:rsidR="002C1C69" w:rsidRPr="004652C3" w:rsidRDefault="002C1C69" w:rsidP="002C1C69">
      <w:pPr>
        <w:pStyle w:val="ListParagraph"/>
        <w:keepLines w:val="0"/>
        <w:numPr>
          <w:ilvl w:val="3"/>
          <w:numId w:val="44"/>
        </w:numPr>
        <w:ind w:left="709" w:hanging="425"/>
        <w:rPr>
          <w:rFonts w:cs="Calibri"/>
        </w:rPr>
      </w:pPr>
      <w:r w:rsidRPr="004652C3">
        <w:rPr>
          <w:rFonts w:cs="Calibri"/>
        </w:rPr>
        <w:t xml:space="preserve">Commissioner Sandra Alofivae appeared in an </w:t>
      </w:r>
      <w:r w:rsidRPr="004652C3">
        <w:rPr>
          <w:rFonts w:cs="Calibri"/>
          <w:i/>
          <w:iCs/>
        </w:rPr>
        <w:t>E-Tangata</w:t>
      </w:r>
      <w:r w:rsidRPr="004652C3">
        <w:rPr>
          <w:rFonts w:cs="Calibri"/>
        </w:rPr>
        <w:t xml:space="preserve"> profile piece reaching Māori and Pasefika audiences.</w:t>
      </w:r>
    </w:p>
    <w:p w14:paraId="4F11569E" w14:textId="77777777" w:rsidR="002C1C69" w:rsidRPr="004652C3" w:rsidRDefault="002C1C69" w:rsidP="002C1C69">
      <w:pPr>
        <w:pStyle w:val="ListParagraph"/>
        <w:keepLines w:val="0"/>
        <w:numPr>
          <w:ilvl w:val="3"/>
          <w:numId w:val="44"/>
        </w:numPr>
        <w:ind w:left="709" w:hanging="425"/>
        <w:rPr>
          <w:rFonts w:cs="Calibri"/>
        </w:rPr>
      </w:pPr>
      <w:r w:rsidRPr="004652C3">
        <w:rPr>
          <w:rFonts w:cs="Calibri"/>
        </w:rPr>
        <w:t xml:space="preserve">David Cohen, journalist and author of </w:t>
      </w:r>
      <w:r w:rsidRPr="004652C3">
        <w:rPr>
          <w:rFonts w:cs="Calibri"/>
          <w:i/>
          <w:iCs/>
        </w:rPr>
        <w:t>Little Criminals</w:t>
      </w:r>
      <w:r w:rsidRPr="004652C3">
        <w:rPr>
          <w:rFonts w:cs="Calibri"/>
        </w:rPr>
        <w:t xml:space="preserve"> (experience of Epuni Boys' Home and study of New Zealand’s residential juvenile criminal system of the 1950s to 1980s), held two Q&amp;A’s on Newstalk ZB’s </w:t>
      </w:r>
      <w:r w:rsidRPr="004652C3">
        <w:rPr>
          <w:rFonts w:cs="Calibri"/>
          <w:i/>
          <w:iCs/>
        </w:rPr>
        <w:t>Nutters Club</w:t>
      </w:r>
      <w:r w:rsidRPr="004652C3">
        <w:rPr>
          <w:rFonts w:cs="Calibri"/>
        </w:rPr>
        <w:t xml:space="preserve"> discussing the Royal Commission and encouraging survivors to contact the Inquiry. </w:t>
      </w:r>
    </w:p>
    <w:p w14:paraId="6734D160" w14:textId="77777777" w:rsidR="002C1C69" w:rsidRPr="004652C3" w:rsidRDefault="002C1C69" w:rsidP="002C1C69">
      <w:pPr>
        <w:pStyle w:val="ListParagraph"/>
        <w:keepLines w:val="0"/>
        <w:numPr>
          <w:ilvl w:val="3"/>
          <w:numId w:val="44"/>
        </w:numPr>
        <w:ind w:left="709" w:hanging="425"/>
        <w:rPr>
          <w:rFonts w:cs="Calibri"/>
        </w:rPr>
      </w:pPr>
      <w:r w:rsidRPr="004652C3">
        <w:rPr>
          <w:rFonts w:cs="Calibri"/>
        </w:rPr>
        <w:t xml:space="preserve">As well as reactive media regarding a previous employee, media work in March focused on proactive media planning for the Redress hearing using witness statements.  This work was interrupted by the lockdown caused by Covid-19. </w:t>
      </w:r>
    </w:p>
    <w:p w14:paraId="705131E1" w14:textId="77777777" w:rsidR="002C1C69" w:rsidRPr="004652C3" w:rsidRDefault="002C1C69" w:rsidP="002C1C69">
      <w:pPr>
        <w:pStyle w:val="ListParagraph"/>
        <w:numPr>
          <w:ilvl w:val="3"/>
          <w:numId w:val="44"/>
        </w:numPr>
        <w:ind w:left="709" w:hanging="425"/>
        <w:rPr>
          <w:rFonts w:cs="Calibri"/>
        </w:rPr>
      </w:pPr>
      <w:r w:rsidRPr="004652C3">
        <w:rPr>
          <w:rFonts w:cs="Calibri"/>
        </w:rPr>
        <w:t xml:space="preserve">The team will shortly commence English and Te Reo advertising on all Iwi radio stations for a two-week period to drive interest in the Inquiry and registrations among both Māori and </w:t>
      </w:r>
      <w:bookmarkStart w:id="2" w:name="_Hlk37961392"/>
      <w:r w:rsidRPr="004652C3">
        <w:rPr>
          <w:rFonts w:cs="Calibri"/>
        </w:rPr>
        <w:t xml:space="preserve">Pasefika </w:t>
      </w:r>
      <w:bookmarkEnd w:id="2"/>
      <w:r w:rsidRPr="004652C3">
        <w:rPr>
          <w:rFonts w:cs="Calibri"/>
        </w:rPr>
        <w:t>survivors.</w:t>
      </w:r>
    </w:p>
    <w:p w14:paraId="54B99E97" w14:textId="77777777" w:rsidR="00BC2B32" w:rsidRPr="004652C3" w:rsidRDefault="00BC2B32" w:rsidP="00764A6A">
      <w:pPr>
        <w:spacing w:before="0" w:after="0"/>
        <w:rPr>
          <w:rFonts w:cs="Calibri"/>
          <w:b/>
        </w:rPr>
      </w:pPr>
    </w:p>
    <w:p w14:paraId="68B134AA" w14:textId="6EC61D61" w:rsidR="00764A6A" w:rsidRPr="004652C3" w:rsidRDefault="00764A6A" w:rsidP="00764A6A">
      <w:pPr>
        <w:spacing w:before="0" w:after="0"/>
        <w:rPr>
          <w:rFonts w:asciiTheme="minorHAnsi" w:hAnsiTheme="minorHAnsi" w:cstheme="minorHAnsi"/>
          <w:b/>
        </w:rPr>
      </w:pPr>
      <w:r w:rsidRPr="004652C3">
        <w:rPr>
          <w:rFonts w:asciiTheme="minorHAnsi" w:hAnsiTheme="minorHAnsi" w:cstheme="minorHAnsi"/>
          <w:b/>
        </w:rPr>
        <w:t>Proposed Extension to Inquiry Timeframes</w:t>
      </w:r>
    </w:p>
    <w:p w14:paraId="75A2A965" w14:textId="77777777" w:rsidR="00DA3344" w:rsidRPr="004652C3" w:rsidRDefault="00DA3344" w:rsidP="00764A6A">
      <w:pPr>
        <w:spacing w:before="0" w:after="0"/>
        <w:rPr>
          <w:rFonts w:cs="Calibri"/>
        </w:rPr>
      </w:pPr>
    </w:p>
    <w:p w14:paraId="57116A3C" w14:textId="325255F0" w:rsidR="00645DD1" w:rsidRPr="004652C3" w:rsidRDefault="007F4D6E" w:rsidP="00764A6A">
      <w:pPr>
        <w:spacing w:before="0" w:after="0"/>
        <w:rPr>
          <w:rFonts w:cs="Calibri"/>
        </w:rPr>
      </w:pPr>
      <w:r w:rsidRPr="004652C3">
        <w:rPr>
          <w:rFonts w:cs="Calibri"/>
        </w:rPr>
        <w:t xml:space="preserve">The delays to the </w:t>
      </w:r>
      <w:r w:rsidR="002E3F33" w:rsidRPr="004652C3">
        <w:rPr>
          <w:rFonts w:cs="Calibri"/>
        </w:rPr>
        <w:t>Inquiry’s</w:t>
      </w:r>
      <w:r w:rsidRPr="004652C3">
        <w:rPr>
          <w:rFonts w:cs="Calibri"/>
        </w:rPr>
        <w:t xml:space="preserve"> work programme </w:t>
      </w:r>
      <w:r w:rsidR="002C1C69" w:rsidRPr="004652C3">
        <w:rPr>
          <w:rFonts w:cs="Calibri"/>
        </w:rPr>
        <w:t xml:space="preserve">in key areas </w:t>
      </w:r>
      <w:r w:rsidR="002E3F33" w:rsidRPr="004652C3">
        <w:rPr>
          <w:rFonts w:cs="Calibri"/>
        </w:rPr>
        <w:t xml:space="preserve">are leading </w:t>
      </w:r>
      <w:r w:rsidRPr="004652C3">
        <w:rPr>
          <w:rFonts w:cs="Calibri"/>
        </w:rPr>
        <w:t xml:space="preserve">Commissioners to consider whether an extension to the timeframes of the Inquiry beyond the January 2023 end date is necessary. More detailed work in key work programme areas </w:t>
      </w:r>
      <w:r w:rsidR="00645DD1" w:rsidRPr="004652C3">
        <w:rPr>
          <w:rFonts w:cs="Calibri"/>
        </w:rPr>
        <w:t>will be undertaken</w:t>
      </w:r>
      <w:r w:rsidRPr="004652C3">
        <w:rPr>
          <w:rFonts w:cs="Calibri"/>
        </w:rPr>
        <w:t xml:space="preserve"> to validate the extent of the delay </w:t>
      </w:r>
      <w:r w:rsidR="00645DD1" w:rsidRPr="004652C3">
        <w:rPr>
          <w:rFonts w:cs="Calibri"/>
        </w:rPr>
        <w:t>required. The Inquiry has notified the Department and will engage with officials as appropriate. The Chair will also discuss this further with you at your upcoming meeting with her on 14 May 2020.</w:t>
      </w:r>
    </w:p>
    <w:p w14:paraId="6EE886B1" w14:textId="69842E6F" w:rsidR="00645DD1" w:rsidRPr="004652C3" w:rsidRDefault="00645DD1" w:rsidP="00764A6A">
      <w:pPr>
        <w:spacing w:before="0" w:after="0"/>
        <w:rPr>
          <w:rFonts w:cs="Calibri"/>
        </w:rPr>
      </w:pPr>
    </w:p>
    <w:p w14:paraId="0EF6352A" w14:textId="6D327C53" w:rsidR="00645DD1" w:rsidRPr="004652C3" w:rsidRDefault="00645DD1" w:rsidP="00764A6A">
      <w:pPr>
        <w:spacing w:before="0" w:after="0"/>
        <w:rPr>
          <w:rFonts w:cs="Calibri"/>
        </w:rPr>
      </w:pPr>
      <w:r w:rsidRPr="004652C3">
        <w:rPr>
          <w:rFonts w:cs="Calibri"/>
        </w:rPr>
        <w:t>It is worth noting that due to the unprecedented breadth and complexity of this Inquiry, as well as the sensitivity of the subject matter, completing the work to fulfil, in full, the Terms of Reference by January 2023 was always going to be a challenge. The impact of Covid-19</w:t>
      </w:r>
      <w:r w:rsidR="004B49FF" w:rsidRPr="004652C3">
        <w:rPr>
          <w:rFonts w:cs="Calibri"/>
        </w:rPr>
        <w:t xml:space="preserve"> has made that task immeasurably more difficult</w:t>
      </w:r>
      <w:r w:rsidR="00DA3344" w:rsidRPr="004652C3">
        <w:rPr>
          <w:rFonts w:cs="Calibri"/>
        </w:rPr>
        <w:t>, particularly when the safety, security and wellbeing of survivors lie at the centre of our Terms of Reference.</w:t>
      </w:r>
    </w:p>
    <w:p w14:paraId="4ED1A8A4" w14:textId="5C3F7916" w:rsidR="004B49FF" w:rsidRPr="004652C3" w:rsidRDefault="004B49FF" w:rsidP="00764A6A">
      <w:pPr>
        <w:spacing w:before="0" w:after="0"/>
        <w:rPr>
          <w:rFonts w:cs="Calibri"/>
        </w:rPr>
      </w:pPr>
    </w:p>
    <w:p w14:paraId="6F5E1D6C" w14:textId="77777777" w:rsidR="002C1C69" w:rsidRPr="004652C3" w:rsidRDefault="002C1C69" w:rsidP="00941AA2">
      <w:pPr>
        <w:spacing w:before="0" w:after="0"/>
        <w:rPr>
          <w:rFonts w:cs="Calibri"/>
          <w:b/>
        </w:rPr>
      </w:pPr>
    </w:p>
    <w:p w14:paraId="56BACC8F" w14:textId="77777777" w:rsidR="002C1C69" w:rsidRPr="004652C3" w:rsidRDefault="002C1C69" w:rsidP="00941AA2">
      <w:pPr>
        <w:spacing w:before="0" w:after="0"/>
        <w:rPr>
          <w:rFonts w:cs="Calibri"/>
          <w:b/>
        </w:rPr>
      </w:pPr>
    </w:p>
    <w:p w14:paraId="41AE76B8" w14:textId="77777777" w:rsidR="002C1C69" w:rsidRPr="004652C3" w:rsidRDefault="002C1C69" w:rsidP="00941AA2">
      <w:pPr>
        <w:spacing w:before="0" w:after="0"/>
        <w:rPr>
          <w:rFonts w:cs="Calibri"/>
          <w:b/>
        </w:rPr>
      </w:pPr>
    </w:p>
    <w:p w14:paraId="630800F5" w14:textId="77777777" w:rsidR="002C1C69" w:rsidRPr="004652C3" w:rsidRDefault="002C1C69" w:rsidP="00941AA2">
      <w:pPr>
        <w:spacing w:before="0" w:after="0"/>
        <w:rPr>
          <w:rFonts w:cs="Calibri"/>
          <w:b/>
        </w:rPr>
      </w:pPr>
    </w:p>
    <w:p w14:paraId="05572C49" w14:textId="77777777" w:rsidR="002C1C69" w:rsidRPr="004652C3" w:rsidRDefault="002C1C69" w:rsidP="00941AA2">
      <w:pPr>
        <w:spacing w:before="0" w:after="0"/>
        <w:rPr>
          <w:rFonts w:cs="Calibri"/>
          <w:b/>
        </w:rPr>
      </w:pPr>
    </w:p>
    <w:p w14:paraId="18D6619B" w14:textId="7C6BD215" w:rsidR="007F4D6E" w:rsidRPr="004652C3" w:rsidRDefault="00941AA2" w:rsidP="00941AA2">
      <w:pPr>
        <w:spacing w:before="0" w:after="0"/>
        <w:rPr>
          <w:rFonts w:asciiTheme="minorHAnsi" w:hAnsiTheme="minorHAnsi" w:cstheme="minorHAnsi"/>
          <w:b/>
        </w:rPr>
      </w:pPr>
      <w:r w:rsidRPr="004652C3">
        <w:rPr>
          <w:rFonts w:asciiTheme="minorHAnsi" w:hAnsiTheme="minorHAnsi" w:cstheme="minorHAnsi"/>
          <w:b/>
        </w:rPr>
        <w:lastRenderedPageBreak/>
        <w:t>Working with the Department of Internal Affairs</w:t>
      </w:r>
    </w:p>
    <w:p w14:paraId="53DC5390" w14:textId="62D354E1" w:rsidR="00941AA2" w:rsidRPr="004652C3" w:rsidRDefault="004B49FF" w:rsidP="004B49FF">
      <w:pPr>
        <w:rPr>
          <w:rFonts w:cs="Calibri"/>
        </w:rPr>
      </w:pPr>
      <w:r w:rsidRPr="004652C3">
        <w:rPr>
          <w:rFonts w:cs="Calibri"/>
        </w:rPr>
        <w:t>Work has continued through the lockdown</w:t>
      </w:r>
      <w:r w:rsidR="00DC144A" w:rsidRPr="004652C3">
        <w:rPr>
          <w:rFonts w:cs="Calibri"/>
        </w:rPr>
        <w:t xml:space="preserve"> to </w:t>
      </w:r>
      <w:r w:rsidR="00941AA2" w:rsidRPr="004652C3">
        <w:rPr>
          <w:rFonts w:cs="Calibri"/>
        </w:rPr>
        <w:t>refresh the Inquiry’s working relationship with the Department as set out in your Letter of Expectations 2019/20.</w:t>
      </w:r>
      <w:r w:rsidR="00241577" w:rsidRPr="004652C3">
        <w:rPr>
          <w:rFonts w:cs="Calibri"/>
        </w:rPr>
        <w:t xml:space="preserve">  This will be supported </w:t>
      </w:r>
      <w:r w:rsidR="009E10BE" w:rsidRPr="004652C3">
        <w:rPr>
          <w:rFonts w:cs="Calibri"/>
        </w:rPr>
        <w:t>by, in particula</w:t>
      </w:r>
      <w:r w:rsidR="006D17F5" w:rsidRPr="004652C3">
        <w:rPr>
          <w:rFonts w:cs="Calibri"/>
        </w:rPr>
        <w:t>r, a revised Memorandum of Understanding and a Statement of Performance Expectations. The work is on track to be completed in time for the beginning of the new financial year on 1 July 2020.</w:t>
      </w:r>
      <w:r w:rsidR="00BC2B32" w:rsidRPr="004652C3">
        <w:rPr>
          <w:rFonts w:cs="Calibri"/>
        </w:rPr>
        <w:t xml:space="preserve"> Both the Department and the Chair of the Inquiry are delighted at the quality of our relationship and the ongoing improvements that have been achieved to date.</w:t>
      </w:r>
    </w:p>
    <w:p w14:paraId="01383204" w14:textId="3C0597D7" w:rsidR="009307AC" w:rsidRPr="004652C3" w:rsidRDefault="009307AC" w:rsidP="009307AC">
      <w:pPr>
        <w:rPr>
          <w:rFonts w:asciiTheme="minorHAnsi" w:hAnsiTheme="minorHAnsi" w:cstheme="minorHAnsi"/>
          <w:b/>
        </w:rPr>
      </w:pPr>
      <w:r w:rsidRPr="004652C3">
        <w:rPr>
          <w:rFonts w:asciiTheme="minorHAnsi" w:hAnsiTheme="minorHAnsi" w:cstheme="minorHAnsi"/>
          <w:b/>
        </w:rPr>
        <w:t>Financial summary to 31 March 2020</w:t>
      </w:r>
    </w:p>
    <w:p w14:paraId="15848B1F" w14:textId="17ED321E" w:rsidR="009307AC" w:rsidRPr="004652C3" w:rsidRDefault="009307AC" w:rsidP="009307AC">
      <w:pPr>
        <w:rPr>
          <w:rFonts w:cs="Calibri"/>
        </w:rPr>
      </w:pPr>
      <w:r w:rsidRPr="004652C3">
        <w:rPr>
          <w:rFonts w:cs="Calibri"/>
        </w:rPr>
        <w:t>The year to date variance for the 9 months to 31 March 2020 was a $</w:t>
      </w:r>
      <w:r w:rsidR="00042821">
        <w:rPr>
          <w:rFonts w:cs="Calibri"/>
        </w:rPr>
        <w:t>11</w:t>
      </w:r>
      <w:r w:rsidR="0070521B">
        <w:rPr>
          <w:rFonts w:cs="Calibri"/>
        </w:rPr>
        <w:t>.444</w:t>
      </w:r>
      <w:r w:rsidRPr="004652C3">
        <w:rPr>
          <w:rFonts w:cs="Calibri"/>
        </w:rPr>
        <w:t xml:space="preserve">M underspend across all outputs. The second half of the year was expected to see an increase in </w:t>
      </w:r>
      <w:r w:rsidR="0070521B">
        <w:rPr>
          <w:rFonts w:cs="Calibri"/>
        </w:rPr>
        <w:t xml:space="preserve">operating </w:t>
      </w:r>
      <w:r w:rsidRPr="004652C3">
        <w:rPr>
          <w:rFonts w:cs="Calibri"/>
        </w:rPr>
        <w:t>expenditure due to additional public hearings being planned and held, together with new operating systems coming on line and a further increase in FTE numbers. The impact of Covid-19 and the</w:t>
      </w:r>
      <w:r w:rsidR="004D4EBA" w:rsidRPr="004652C3">
        <w:rPr>
          <w:rFonts w:cs="Calibri"/>
        </w:rPr>
        <w:t xml:space="preserve"> </w:t>
      </w:r>
      <w:r w:rsidRPr="004652C3">
        <w:rPr>
          <w:rFonts w:cs="Calibri"/>
        </w:rPr>
        <w:t xml:space="preserve">measures taken by the Inquiry </w:t>
      </w:r>
      <w:r w:rsidR="004D4EBA" w:rsidRPr="004652C3">
        <w:rPr>
          <w:rFonts w:cs="Calibri"/>
        </w:rPr>
        <w:t>in response has negated that increase. The Inquiry is now expected to be underspent</w:t>
      </w:r>
      <w:r w:rsidR="000954A8" w:rsidRPr="004652C3">
        <w:rPr>
          <w:rFonts w:cs="Calibri"/>
        </w:rPr>
        <w:t>,</w:t>
      </w:r>
      <w:r w:rsidR="004D4EBA" w:rsidRPr="004652C3">
        <w:rPr>
          <w:rFonts w:cs="Calibri"/>
        </w:rPr>
        <w:t xml:space="preserve"> in total</w:t>
      </w:r>
      <w:r w:rsidR="000954A8" w:rsidRPr="004652C3">
        <w:rPr>
          <w:rFonts w:cs="Calibri"/>
        </w:rPr>
        <w:t>,</w:t>
      </w:r>
      <w:r w:rsidR="004D4EBA" w:rsidRPr="004652C3">
        <w:rPr>
          <w:rFonts w:cs="Calibri"/>
        </w:rPr>
        <w:t xml:space="preserve"> at financial year end 30 June 2020.</w:t>
      </w:r>
    </w:p>
    <w:p w14:paraId="63E371D5" w14:textId="29182A6E" w:rsidR="009307AC" w:rsidRPr="004652C3" w:rsidRDefault="009307AC" w:rsidP="009307AC">
      <w:pPr>
        <w:rPr>
          <w:rFonts w:cs="Calibri"/>
          <w:i/>
        </w:rPr>
      </w:pPr>
      <w:r w:rsidRPr="004652C3">
        <w:rPr>
          <w:rFonts w:cs="Calibri"/>
          <w:i/>
        </w:rPr>
        <w:t>Departmental Output Expense: Royal Commission into Historical Abuse in State Care and in the Care of Faith-based Institutions.</w:t>
      </w:r>
    </w:p>
    <w:tbl>
      <w:tblPr>
        <w:tblStyle w:val="DIATable"/>
        <w:tblW w:w="9985" w:type="dxa"/>
        <w:tblLayout w:type="fixed"/>
        <w:tblLook w:val="04A0" w:firstRow="1" w:lastRow="0" w:firstColumn="1" w:lastColumn="0" w:noHBand="0" w:noVBand="1"/>
      </w:tblPr>
      <w:tblGrid>
        <w:gridCol w:w="1376"/>
        <w:gridCol w:w="834"/>
        <w:gridCol w:w="911"/>
        <w:gridCol w:w="781"/>
        <w:gridCol w:w="1368"/>
        <w:gridCol w:w="1034"/>
        <w:gridCol w:w="3681"/>
      </w:tblGrid>
      <w:tr w:rsidR="004D4EBA" w:rsidRPr="009307AC" w14:paraId="24672AE9" w14:textId="77777777" w:rsidTr="004D4EBA">
        <w:trPr>
          <w:cnfStyle w:val="100000000000" w:firstRow="1" w:lastRow="0" w:firstColumn="0" w:lastColumn="0" w:oddVBand="0" w:evenVBand="0" w:oddHBand="0" w:evenHBand="0" w:firstRowFirstColumn="0" w:firstRowLastColumn="0" w:lastRowFirstColumn="0" w:lastRowLastColumn="0"/>
          <w:trHeight w:val="1333"/>
        </w:trPr>
        <w:tc>
          <w:tcPr>
            <w:tcW w:w="1376" w:type="dxa"/>
          </w:tcPr>
          <w:p w14:paraId="2792E2EE" w14:textId="77777777" w:rsidR="009307AC" w:rsidRPr="009307AC" w:rsidRDefault="009307AC" w:rsidP="001617D2">
            <w:pPr>
              <w:ind w:right="-814"/>
              <w:rPr>
                <w:sz w:val="20"/>
                <w:szCs w:val="20"/>
              </w:rPr>
            </w:pPr>
            <w:r w:rsidRPr="009307AC">
              <w:rPr>
                <w:sz w:val="20"/>
                <w:szCs w:val="20"/>
              </w:rPr>
              <w:t>Output</w:t>
            </w:r>
          </w:p>
        </w:tc>
        <w:tc>
          <w:tcPr>
            <w:tcW w:w="834" w:type="dxa"/>
          </w:tcPr>
          <w:p w14:paraId="49188EA4" w14:textId="77777777" w:rsidR="009307AC" w:rsidRPr="009307AC" w:rsidRDefault="009307AC" w:rsidP="001617D2">
            <w:pPr>
              <w:rPr>
                <w:sz w:val="20"/>
                <w:szCs w:val="20"/>
              </w:rPr>
            </w:pPr>
            <w:r w:rsidRPr="009307AC">
              <w:rPr>
                <w:sz w:val="20"/>
                <w:szCs w:val="20"/>
              </w:rPr>
              <w:t xml:space="preserve">YTD* Actual </w:t>
            </w:r>
          </w:p>
          <w:p w14:paraId="4E24FCAC" w14:textId="77777777" w:rsidR="009307AC" w:rsidRPr="009307AC" w:rsidRDefault="009307AC" w:rsidP="001617D2">
            <w:pPr>
              <w:rPr>
                <w:sz w:val="20"/>
                <w:szCs w:val="20"/>
              </w:rPr>
            </w:pPr>
            <w:r w:rsidRPr="009307AC">
              <w:rPr>
                <w:sz w:val="20"/>
                <w:szCs w:val="20"/>
              </w:rPr>
              <w:t>($m)</w:t>
            </w:r>
          </w:p>
        </w:tc>
        <w:tc>
          <w:tcPr>
            <w:tcW w:w="911" w:type="dxa"/>
          </w:tcPr>
          <w:p w14:paraId="7BFE3D2E" w14:textId="77777777" w:rsidR="009307AC" w:rsidRPr="009307AC" w:rsidRDefault="009307AC" w:rsidP="001617D2">
            <w:pPr>
              <w:rPr>
                <w:sz w:val="20"/>
                <w:szCs w:val="20"/>
              </w:rPr>
            </w:pPr>
            <w:r w:rsidRPr="009307AC">
              <w:rPr>
                <w:sz w:val="20"/>
                <w:szCs w:val="20"/>
              </w:rPr>
              <w:t>YTD Budget</w:t>
            </w:r>
          </w:p>
          <w:p w14:paraId="637E00B9" w14:textId="77777777" w:rsidR="009307AC" w:rsidRPr="009307AC" w:rsidRDefault="009307AC" w:rsidP="001617D2">
            <w:pPr>
              <w:rPr>
                <w:sz w:val="20"/>
                <w:szCs w:val="20"/>
              </w:rPr>
            </w:pPr>
            <w:r w:rsidRPr="009307AC">
              <w:rPr>
                <w:sz w:val="20"/>
                <w:szCs w:val="20"/>
              </w:rPr>
              <w:t>($m)</w:t>
            </w:r>
          </w:p>
        </w:tc>
        <w:tc>
          <w:tcPr>
            <w:tcW w:w="781" w:type="dxa"/>
          </w:tcPr>
          <w:p w14:paraId="73EEB283" w14:textId="77777777" w:rsidR="009307AC" w:rsidRPr="009307AC" w:rsidRDefault="009307AC" w:rsidP="001617D2">
            <w:pPr>
              <w:rPr>
                <w:b w:val="0"/>
                <w:sz w:val="20"/>
                <w:szCs w:val="20"/>
              </w:rPr>
            </w:pPr>
            <w:r w:rsidRPr="009307AC">
              <w:rPr>
                <w:sz w:val="20"/>
                <w:szCs w:val="20"/>
              </w:rPr>
              <w:t>YTD Var</w:t>
            </w:r>
          </w:p>
          <w:p w14:paraId="27434EB7" w14:textId="77777777" w:rsidR="009307AC" w:rsidRPr="009307AC" w:rsidRDefault="009307AC" w:rsidP="001617D2">
            <w:pPr>
              <w:rPr>
                <w:sz w:val="20"/>
                <w:szCs w:val="20"/>
              </w:rPr>
            </w:pPr>
            <w:r w:rsidRPr="009307AC">
              <w:rPr>
                <w:sz w:val="20"/>
                <w:szCs w:val="20"/>
              </w:rPr>
              <w:t>($m)</w:t>
            </w:r>
          </w:p>
        </w:tc>
        <w:tc>
          <w:tcPr>
            <w:tcW w:w="1368" w:type="dxa"/>
          </w:tcPr>
          <w:p w14:paraId="5C2F9786" w14:textId="77777777" w:rsidR="009307AC" w:rsidRPr="009307AC" w:rsidRDefault="009307AC" w:rsidP="001617D2">
            <w:pPr>
              <w:rPr>
                <w:sz w:val="20"/>
                <w:szCs w:val="20"/>
              </w:rPr>
            </w:pPr>
            <w:r w:rsidRPr="009307AC">
              <w:rPr>
                <w:sz w:val="20"/>
                <w:szCs w:val="20"/>
              </w:rPr>
              <w:t>Total spend to appropriation to date #</w:t>
            </w:r>
          </w:p>
          <w:p w14:paraId="28D4CFBD" w14:textId="77777777" w:rsidR="009307AC" w:rsidRPr="009307AC" w:rsidRDefault="009307AC" w:rsidP="001617D2">
            <w:pPr>
              <w:rPr>
                <w:sz w:val="20"/>
                <w:szCs w:val="20"/>
              </w:rPr>
            </w:pPr>
            <w:r w:rsidRPr="009307AC">
              <w:rPr>
                <w:sz w:val="20"/>
                <w:szCs w:val="20"/>
              </w:rPr>
              <w:t>($m)</w:t>
            </w:r>
          </w:p>
        </w:tc>
        <w:tc>
          <w:tcPr>
            <w:tcW w:w="1034" w:type="dxa"/>
          </w:tcPr>
          <w:p w14:paraId="07325A42" w14:textId="77777777" w:rsidR="009307AC" w:rsidRPr="009307AC" w:rsidRDefault="009307AC" w:rsidP="001617D2">
            <w:pPr>
              <w:rPr>
                <w:sz w:val="20"/>
                <w:szCs w:val="20"/>
              </w:rPr>
            </w:pPr>
            <w:r w:rsidRPr="009307AC">
              <w:rPr>
                <w:sz w:val="20"/>
                <w:szCs w:val="20"/>
              </w:rPr>
              <w:t>Duration Multi-year Approved Budget</w:t>
            </w:r>
          </w:p>
          <w:p w14:paraId="31BD4C3A" w14:textId="77777777" w:rsidR="009307AC" w:rsidRPr="009307AC" w:rsidRDefault="009307AC" w:rsidP="001617D2">
            <w:pPr>
              <w:rPr>
                <w:sz w:val="20"/>
                <w:szCs w:val="20"/>
              </w:rPr>
            </w:pPr>
            <w:r w:rsidRPr="009307AC">
              <w:rPr>
                <w:sz w:val="20"/>
                <w:szCs w:val="20"/>
              </w:rPr>
              <w:t>($m)</w:t>
            </w:r>
          </w:p>
        </w:tc>
        <w:tc>
          <w:tcPr>
            <w:tcW w:w="3681" w:type="dxa"/>
          </w:tcPr>
          <w:p w14:paraId="46221407" w14:textId="77777777" w:rsidR="009307AC" w:rsidRPr="009307AC" w:rsidRDefault="009307AC" w:rsidP="001617D2">
            <w:pPr>
              <w:rPr>
                <w:sz w:val="20"/>
                <w:szCs w:val="20"/>
              </w:rPr>
            </w:pPr>
            <w:r w:rsidRPr="009307AC">
              <w:rPr>
                <w:sz w:val="20"/>
                <w:szCs w:val="20"/>
              </w:rPr>
              <w:t>Comment</w:t>
            </w:r>
          </w:p>
        </w:tc>
      </w:tr>
      <w:tr w:rsidR="004D4EBA" w:rsidRPr="009307AC" w14:paraId="234B64A5" w14:textId="77777777" w:rsidTr="004D4EBA">
        <w:trPr>
          <w:trHeight w:val="603"/>
        </w:trPr>
        <w:tc>
          <w:tcPr>
            <w:tcW w:w="1376" w:type="dxa"/>
          </w:tcPr>
          <w:p w14:paraId="24E5E25F" w14:textId="77777777" w:rsidR="009307AC" w:rsidRPr="009307AC" w:rsidRDefault="009307AC" w:rsidP="001617D2">
            <w:pPr>
              <w:rPr>
                <w:sz w:val="20"/>
                <w:szCs w:val="20"/>
              </w:rPr>
            </w:pPr>
            <w:r w:rsidRPr="009307AC">
              <w:rPr>
                <w:sz w:val="20"/>
                <w:szCs w:val="20"/>
              </w:rPr>
              <w:t>Operating expenses</w:t>
            </w:r>
          </w:p>
        </w:tc>
        <w:tc>
          <w:tcPr>
            <w:tcW w:w="834" w:type="dxa"/>
          </w:tcPr>
          <w:p w14:paraId="222A130E"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15.235</w:t>
            </w:r>
          </w:p>
        </w:tc>
        <w:tc>
          <w:tcPr>
            <w:tcW w:w="911" w:type="dxa"/>
          </w:tcPr>
          <w:p w14:paraId="4329D0EF" w14:textId="3D2D58A8" w:rsidR="009307AC" w:rsidRPr="009307AC" w:rsidRDefault="003A642B" w:rsidP="001617D2">
            <w:pPr>
              <w:jc w:val="right"/>
              <w:rPr>
                <w:sz w:val="20"/>
                <w:szCs w:val="20"/>
                <w:highlight w:val="yellow"/>
              </w:rPr>
            </w:pPr>
            <w:r>
              <w:rPr>
                <w:rFonts w:asciiTheme="minorHAnsi" w:hAnsiTheme="minorHAnsi" w:cstheme="minorHAnsi"/>
                <w:iCs/>
                <w:szCs w:val="22"/>
              </w:rPr>
              <w:t>18.012</w:t>
            </w:r>
          </w:p>
        </w:tc>
        <w:tc>
          <w:tcPr>
            <w:tcW w:w="781" w:type="dxa"/>
          </w:tcPr>
          <w:p w14:paraId="36413A4A" w14:textId="1D529EFB" w:rsidR="009307AC" w:rsidRPr="009307AC" w:rsidRDefault="003A642B" w:rsidP="001617D2">
            <w:pPr>
              <w:jc w:val="right"/>
              <w:rPr>
                <w:rFonts w:cs="Calibri"/>
                <w:color w:val="000000"/>
                <w:sz w:val="20"/>
                <w:szCs w:val="20"/>
                <w:highlight w:val="yellow"/>
              </w:rPr>
            </w:pPr>
            <w:r>
              <w:rPr>
                <w:rFonts w:asciiTheme="minorHAnsi" w:hAnsiTheme="minorHAnsi" w:cstheme="minorHAnsi"/>
                <w:iCs/>
                <w:szCs w:val="22"/>
              </w:rPr>
              <w:t>2.777</w:t>
            </w:r>
          </w:p>
        </w:tc>
        <w:tc>
          <w:tcPr>
            <w:tcW w:w="1368" w:type="dxa"/>
          </w:tcPr>
          <w:p w14:paraId="7F65FE13"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23.007</w:t>
            </w:r>
          </w:p>
        </w:tc>
        <w:tc>
          <w:tcPr>
            <w:tcW w:w="1034" w:type="dxa"/>
          </w:tcPr>
          <w:p w14:paraId="06D10CE7"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44.108</w:t>
            </w:r>
          </w:p>
        </w:tc>
        <w:tc>
          <w:tcPr>
            <w:tcW w:w="3681" w:type="dxa"/>
          </w:tcPr>
          <w:p w14:paraId="1CE89FE9" w14:textId="2BA36ED2" w:rsidR="009307AC" w:rsidRPr="009307AC" w:rsidRDefault="004D4EBA" w:rsidP="001617D2">
            <w:pPr>
              <w:rPr>
                <w:rFonts w:eastAsia="Times New Roman"/>
                <w:sz w:val="20"/>
                <w:szCs w:val="20"/>
              </w:rPr>
            </w:pPr>
            <w:r>
              <w:rPr>
                <w:rFonts w:asciiTheme="minorHAnsi" w:hAnsiTheme="minorHAnsi" w:cstheme="minorHAnsi"/>
                <w:iCs/>
                <w:szCs w:val="22"/>
              </w:rPr>
              <w:t>The anticipated increase in expenditure driven mainly by person</w:t>
            </w:r>
            <w:r w:rsidR="00BC2B32">
              <w:rPr>
                <w:rFonts w:asciiTheme="minorHAnsi" w:hAnsiTheme="minorHAnsi" w:cstheme="minorHAnsi"/>
                <w:iCs/>
                <w:szCs w:val="22"/>
              </w:rPr>
              <w:t xml:space="preserve">nel </w:t>
            </w:r>
            <w:r>
              <w:rPr>
                <w:rFonts w:asciiTheme="minorHAnsi" w:hAnsiTheme="minorHAnsi" w:cstheme="minorHAnsi"/>
                <w:iCs/>
                <w:szCs w:val="22"/>
              </w:rPr>
              <w:t xml:space="preserve">and public hearings costs has not occurred due to Covid-19. </w:t>
            </w:r>
          </w:p>
        </w:tc>
      </w:tr>
      <w:tr w:rsidR="004D4EBA" w:rsidRPr="009307AC" w14:paraId="6A1DA2E0" w14:textId="77777777" w:rsidTr="004D4EBA">
        <w:trPr>
          <w:trHeight w:val="797"/>
        </w:trPr>
        <w:tc>
          <w:tcPr>
            <w:tcW w:w="1376" w:type="dxa"/>
          </w:tcPr>
          <w:p w14:paraId="1E60CDDC" w14:textId="77777777" w:rsidR="009307AC" w:rsidRPr="009307AC" w:rsidRDefault="009307AC" w:rsidP="001617D2">
            <w:pPr>
              <w:rPr>
                <w:sz w:val="20"/>
                <w:szCs w:val="20"/>
              </w:rPr>
            </w:pPr>
            <w:r w:rsidRPr="009307AC">
              <w:rPr>
                <w:sz w:val="20"/>
                <w:szCs w:val="20"/>
              </w:rPr>
              <w:t>Commissioner fees</w:t>
            </w:r>
          </w:p>
        </w:tc>
        <w:tc>
          <w:tcPr>
            <w:tcW w:w="834" w:type="dxa"/>
          </w:tcPr>
          <w:p w14:paraId="02C62214"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0.908</w:t>
            </w:r>
          </w:p>
        </w:tc>
        <w:tc>
          <w:tcPr>
            <w:tcW w:w="911" w:type="dxa"/>
          </w:tcPr>
          <w:p w14:paraId="061612BD" w14:textId="1674D2E3" w:rsidR="009307AC" w:rsidRPr="009307AC" w:rsidRDefault="003A642B" w:rsidP="001617D2">
            <w:pPr>
              <w:jc w:val="right"/>
              <w:rPr>
                <w:sz w:val="20"/>
                <w:szCs w:val="20"/>
                <w:highlight w:val="yellow"/>
              </w:rPr>
            </w:pPr>
            <w:r>
              <w:rPr>
                <w:rFonts w:asciiTheme="minorHAnsi" w:hAnsiTheme="minorHAnsi" w:cstheme="minorHAnsi"/>
                <w:iCs/>
                <w:szCs w:val="22"/>
              </w:rPr>
              <w:t>1.363</w:t>
            </w:r>
          </w:p>
        </w:tc>
        <w:tc>
          <w:tcPr>
            <w:tcW w:w="781" w:type="dxa"/>
          </w:tcPr>
          <w:p w14:paraId="17D99C5B" w14:textId="43A5F34B" w:rsidR="009307AC" w:rsidRPr="009307AC" w:rsidRDefault="009307AC" w:rsidP="001617D2">
            <w:pPr>
              <w:jc w:val="right"/>
              <w:rPr>
                <w:sz w:val="20"/>
                <w:szCs w:val="20"/>
                <w:highlight w:val="yellow"/>
              </w:rPr>
            </w:pPr>
            <w:r w:rsidRPr="009307AC">
              <w:rPr>
                <w:rFonts w:asciiTheme="minorHAnsi" w:hAnsiTheme="minorHAnsi" w:cstheme="minorHAnsi"/>
                <w:iCs/>
                <w:szCs w:val="22"/>
              </w:rPr>
              <w:t>0.</w:t>
            </w:r>
            <w:r w:rsidR="003A642B">
              <w:rPr>
                <w:rFonts w:asciiTheme="minorHAnsi" w:hAnsiTheme="minorHAnsi" w:cstheme="minorHAnsi"/>
                <w:iCs/>
                <w:szCs w:val="22"/>
              </w:rPr>
              <w:t>455</w:t>
            </w:r>
          </w:p>
        </w:tc>
        <w:tc>
          <w:tcPr>
            <w:tcW w:w="1368" w:type="dxa"/>
          </w:tcPr>
          <w:p w14:paraId="1250024E"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1.491</w:t>
            </w:r>
          </w:p>
        </w:tc>
        <w:tc>
          <w:tcPr>
            <w:tcW w:w="1034" w:type="dxa"/>
          </w:tcPr>
          <w:p w14:paraId="227517DB"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6.122</w:t>
            </w:r>
          </w:p>
        </w:tc>
        <w:tc>
          <w:tcPr>
            <w:tcW w:w="3681" w:type="dxa"/>
          </w:tcPr>
          <w:p w14:paraId="01210085" w14:textId="34EABF75" w:rsidR="009307AC" w:rsidRPr="009307AC" w:rsidRDefault="009307AC" w:rsidP="001617D2">
            <w:pPr>
              <w:rPr>
                <w:sz w:val="20"/>
                <w:szCs w:val="20"/>
              </w:rPr>
            </w:pPr>
            <w:r w:rsidRPr="009307AC">
              <w:rPr>
                <w:rFonts w:asciiTheme="minorHAnsi" w:hAnsiTheme="minorHAnsi" w:cstheme="minorHAnsi"/>
                <w:iCs/>
                <w:szCs w:val="22"/>
              </w:rPr>
              <w:t xml:space="preserve">The average days worked </w:t>
            </w:r>
            <w:r w:rsidR="004D4EBA">
              <w:rPr>
                <w:rFonts w:asciiTheme="minorHAnsi" w:hAnsiTheme="minorHAnsi" w:cstheme="minorHAnsi"/>
                <w:iCs/>
                <w:szCs w:val="22"/>
              </w:rPr>
              <w:t xml:space="preserve">by Commissioners </w:t>
            </w:r>
            <w:r w:rsidRPr="009307AC">
              <w:rPr>
                <w:rFonts w:asciiTheme="minorHAnsi" w:hAnsiTheme="minorHAnsi" w:cstheme="minorHAnsi"/>
                <w:iCs/>
                <w:szCs w:val="22"/>
              </w:rPr>
              <w:t>has been impacted by the Commission running 1 Commissioner down since Sir Anand Satyanand's retirement.</w:t>
            </w:r>
          </w:p>
        </w:tc>
      </w:tr>
      <w:tr w:rsidR="004D4EBA" w:rsidRPr="009307AC" w14:paraId="2DF808DF" w14:textId="77777777" w:rsidTr="004D4EBA">
        <w:trPr>
          <w:trHeight w:val="1184"/>
        </w:trPr>
        <w:tc>
          <w:tcPr>
            <w:tcW w:w="1376" w:type="dxa"/>
          </w:tcPr>
          <w:p w14:paraId="0DFE688C" w14:textId="77777777" w:rsidR="009307AC" w:rsidRPr="009307AC" w:rsidRDefault="009307AC" w:rsidP="001617D2">
            <w:pPr>
              <w:rPr>
                <w:sz w:val="20"/>
                <w:szCs w:val="20"/>
              </w:rPr>
            </w:pPr>
            <w:r w:rsidRPr="009307AC">
              <w:rPr>
                <w:sz w:val="20"/>
                <w:szCs w:val="20"/>
              </w:rPr>
              <w:t>Counselling costs</w:t>
            </w:r>
          </w:p>
        </w:tc>
        <w:tc>
          <w:tcPr>
            <w:tcW w:w="834" w:type="dxa"/>
          </w:tcPr>
          <w:p w14:paraId="73FD7F2C"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0.14</w:t>
            </w:r>
          </w:p>
        </w:tc>
        <w:tc>
          <w:tcPr>
            <w:tcW w:w="911" w:type="dxa"/>
          </w:tcPr>
          <w:p w14:paraId="5F04C3A7" w14:textId="61E097B1" w:rsidR="009307AC" w:rsidRPr="009307AC" w:rsidRDefault="003A642B" w:rsidP="001617D2">
            <w:pPr>
              <w:jc w:val="right"/>
              <w:rPr>
                <w:sz w:val="20"/>
                <w:szCs w:val="20"/>
                <w:highlight w:val="yellow"/>
              </w:rPr>
            </w:pPr>
            <w:r>
              <w:rPr>
                <w:rFonts w:asciiTheme="minorHAnsi" w:hAnsiTheme="minorHAnsi" w:cstheme="minorHAnsi"/>
                <w:iCs/>
                <w:szCs w:val="22"/>
              </w:rPr>
              <w:t>2.191</w:t>
            </w:r>
          </w:p>
        </w:tc>
        <w:tc>
          <w:tcPr>
            <w:tcW w:w="781" w:type="dxa"/>
          </w:tcPr>
          <w:p w14:paraId="54D2C37F" w14:textId="4209AD0E" w:rsidR="009307AC" w:rsidRPr="009307AC" w:rsidRDefault="003A642B" w:rsidP="001617D2">
            <w:pPr>
              <w:jc w:val="right"/>
              <w:rPr>
                <w:sz w:val="20"/>
                <w:szCs w:val="20"/>
                <w:highlight w:val="yellow"/>
              </w:rPr>
            </w:pPr>
            <w:r>
              <w:rPr>
                <w:rFonts w:asciiTheme="minorHAnsi" w:hAnsiTheme="minorHAnsi" w:cstheme="minorHAnsi"/>
                <w:iCs/>
                <w:szCs w:val="22"/>
              </w:rPr>
              <w:t>2.051</w:t>
            </w:r>
          </w:p>
        </w:tc>
        <w:tc>
          <w:tcPr>
            <w:tcW w:w="1368" w:type="dxa"/>
          </w:tcPr>
          <w:p w14:paraId="34A2B335"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0.14</w:t>
            </w:r>
          </w:p>
        </w:tc>
        <w:tc>
          <w:tcPr>
            <w:tcW w:w="1034" w:type="dxa"/>
          </w:tcPr>
          <w:p w14:paraId="60C1CA73"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15.335</w:t>
            </w:r>
          </w:p>
        </w:tc>
        <w:tc>
          <w:tcPr>
            <w:tcW w:w="3681" w:type="dxa"/>
          </w:tcPr>
          <w:p w14:paraId="05808196" w14:textId="072EECC1" w:rsidR="009307AC" w:rsidRPr="009307AC" w:rsidRDefault="009307AC" w:rsidP="001617D2">
            <w:pPr>
              <w:rPr>
                <w:sz w:val="20"/>
                <w:szCs w:val="20"/>
              </w:rPr>
            </w:pPr>
            <w:r w:rsidRPr="009307AC">
              <w:rPr>
                <w:rFonts w:asciiTheme="minorHAnsi" w:hAnsiTheme="minorHAnsi" w:cstheme="minorHAnsi"/>
                <w:iCs/>
                <w:szCs w:val="22"/>
              </w:rPr>
              <w:t xml:space="preserve">The underspend </w:t>
            </w:r>
            <w:r w:rsidR="004D4EBA">
              <w:rPr>
                <w:rFonts w:asciiTheme="minorHAnsi" w:hAnsiTheme="minorHAnsi" w:cstheme="minorHAnsi"/>
                <w:iCs/>
                <w:szCs w:val="22"/>
              </w:rPr>
              <w:t xml:space="preserve">will be largely permanent this financial year as the new model for counselling and associated costs will be implemented from the beginning of the next financial year. </w:t>
            </w:r>
          </w:p>
        </w:tc>
      </w:tr>
      <w:tr w:rsidR="004D4EBA" w:rsidRPr="009307AC" w14:paraId="4E59C80E" w14:textId="77777777" w:rsidTr="004D4EBA">
        <w:trPr>
          <w:trHeight w:val="1985"/>
        </w:trPr>
        <w:tc>
          <w:tcPr>
            <w:tcW w:w="1376" w:type="dxa"/>
          </w:tcPr>
          <w:p w14:paraId="1F792164" w14:textId="77777777" w:rsidR="009307AC" w:rsidRPr="009307AC" w:rsidRDefault="009307AC" w:rsidP="001617D2">
            <w:pPr>
              <w:rPr>
                <w:sz w:val="20"/>
                <w:szCs w:val="20"/>
              </w:rPr>
            </w:pPr>
            <w:r w:rsidRPr="009307AC">
              <w:rPr>
                <w:sz w:val="20"/>
                <w:szCs w:val="20"/>
              </w:rPr>
              <w:lastRenderedPageBreak/>
              <w:t>Legal Assistance</w:t>
            </w:r>
          </w:p>
        </w:tc>
        <w:tc>
          <w:tcPr>
            <w:tcW w:w="834" w:type="dxa"/>
          </w:tcPr>
          <w:p w14:paraId="0502ACA8"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0</w:t>
            </w:r>
          </w:p>
        </w:tc>
        <w:tc>
          <w:tcPr>
            <w:tcW w:w="911" w:type="dxa"/>
          </w:tcPr>
          <w:p w14:paraId="52A66CC4" w14:textId="3D97BFCA" w:rsidR="009307AC" w:rsidRPr="009307AC" w:rsidRDefault="003A642B" w:rsidP="001617D2">
            <w:pPr>
              <w:jc w:val="right"/>
              <w:rPr>
                <w:sz w:val="20"/>
                <w:szCs w:val="20"/>
                <w:highlight w:val="yellow"/>
              </w:rPr>
            </w:pPr>
            <w:r>
              <w:rPr>
                <w:rFonts w:asciiTheme="minorHAnsi" w:hAnsiTheme="minorHAnsi" w:cstheme="minorHAnsi"/>
                <w:iCs/>
                <w:szCs w:val="22"/>
              </w:rPr>
              <w:t>2.747</w:t>
            </w:r>
          </w:p>
        </w:tc>
        <w:tc>
          <w:tcPr>
            <w:tcW w:w="781" w:type="dxa"/>
          </w:tcPr>
          <w:p w14:paraId="55A77CD5" w14:textId="16C5CF11" w:rsidR="009307AC" w:rsidRPr="009307AC" w:rsidRDefault="003A642B" w:rsidP="001617D2">
            <w:pPr>
              <w:jc w:val="right"/>
              <w:rPr>
                <w:sz w:val="20"/>
                <w:szCs w:val="20"/>
                <w:highlight w:val="yellow"/>
              </w:rPr>
            </w:pPr>
            <w:r>
              <w:rPr>
                <w:rFonts w:asciiTheme="minorHAnsi" w:hAnsiTheme="minorHAnsi" w:cstheme="minorHAnsi"/>
                <w:iCs/>
                <w:szCs w:val="22"/>
              </w:rPr>
              <w:t>2.747</w:t>
            </w:r>
          </w:p>
        </w:tc>
        <w:tc>
          <w:tcPr>
            <w:tcW w:w="1368" w:type="dxa"/>
          </w:tcPr>
          <w:p w14:paraId="156CEB39"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0</w:t>
            </w:r>
          </w:p>
        </w:tc>
        <w:tc>
          <w:tcPr>
            <w:tcW w:w="1034" w:type="dxa"/>
          </w:tcPr>
          <w:p w14:paraId="0E889625"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8.79</w:t>
            </w:r>
          </w:p>
        </w:tc>
        <w:tc>
          <w:tcPr>
            <w:tcW w:w="3681" w:type="dxa"/>
          </w:tcPr>
          <w:p w14:paraId="28F4B1E8" w14:textId="40F982EF" w:rsidR="009307AC" w:rsidRPr="009307AC" w:rsidRDefault="0070521B" w:rsidP="001617D2">
            <w:pPr>
              <w:rPr>
                <w:sz w:val="20"/>
                <w:szCs w:val="20"/>
              </w:rPr>
            </w:pPr>
            <w:r>
              <w:rPr>
                <w:rFonts w:asciiTheme="minorHAnsi" w:hAnsiTheme="minorHAnsi" w:cstheme="minorHAnsi"/>
                <w:iCs/>
                <w:szCs w:val="22"/>
              </w:rPr>
              <w:t xml:space="preserve">Reflects a slowing in the anticipated schedule of Public Hearings. In addition, </w:t>
            </w:r>
            <w:r w:rsidR="009307AC" w:rsidRPr="009307AC">
              <w:rPr>
                <w:rFonts w:asciiTheme="minorHAnsi" w:hAnsiTheme="minorHAnsi" w:cstheme="minorHAnsi"/>
                <w:iCs/>
                <w:szCs w:val="22"/>
              </w:rPr>
              <w:t>$100k of actual costs have been identified as being incorrectly coded to operating costs. Totals for next quarter will be corrected</w:t>
            </w:r>
            <w:r>
              <w:rPr>
                <w:rFonts w:asciiTheme="minorHAnsi" w:hAnsiTheme="minorHAnsi" w:cstheme="minorHAnsi"/>
                <w:iCs/>
                <w:szCs w:val="22"/>
              </w:rPr>
              <w:t>.</w:t>
            </w:r>
          </w:p>
        </w:tc>
      </w:tr>
      <w:tr w:rsidR="004D4EBA" w:rsidRPr="009307AC" w14:paraId="0B5F29D6" w14:textId="77777777" w:rsidTr="004D4EBA">
        <w:trPr>
          <w:trHeight w:val="2452"/>
        </w:trPr>
        <w:tc>
          <w:tcPr>
            <w:tcW w:w="1376" w:type="dxa"/>
          </w:tcPr>
          <w:p w14:paraId="655C9275" w14:textId="77777777" w:rsidR="009307AC" w:rsidRPr="009307AC" w:rsidRDefault="009307AC" w:rsidP="001617D2">
            <w:pPr>
              <w:rPr>
                <w:sz w:val="20"/>
                <w:szCs w:val="20"/>
              </w:rPr>
            </w:pPr>
            <w:r w:rsidRPr="009307AC">
              <w:rPr>
                <w:sz w:val="20"/>
                <w:szCs w:val="20"/>
              </w:rPr>
              <w:t xml:space="preserve">Capital </w:t>
            </w:r>
          </w:p>
        </w:tc>
        <w:tc>
          <w:tcPr>
            <w:tcW w:w="834" w:type="dxa"/>
          </w:tcPr>
          <w:p w14:paraId="2B6B7663"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0.789</w:t>
            </w:r>
          </w:p>
        </w:tc>
        <w:tc>
          <w:tcPr>
            <w:tcW w:w="911" w:type="dxa"/>
          </w:tcPr>
          <w:p w14:paraId="54A96C4F" w14:textId="66414799" w:rsidR="009307AC" w:rsidRPr="009307AC" w:rsidRDefault="003A642B" w:rsidP="001617D2">
            <w:pPr>
              <w:jc w:val="right"/>
              <w:rPr>
                <w:sz w:val="20"/>
                <w:szCs w:val="20"/>
                <w:highlight w:val="yellow"/>
              </w:rPr>
            </w:pPr>
            <w:r>
              <w:rPr>
                <w:rFonts w:asciiTheme="minorHAnsi" w:hAnsiTheme="minorHAnsi" w:cstheme="minorHAnsi"/>
                <w:iCs/>
                <w:szCs w:val="22"/>
              </w:rPr>
              <w:t>4.203</w:t>
            </w:r>
          </w:p>
        </w:tc>
        <w:tc>
          <w:tcPr>
            <w:tcW w:w="781" w:type="dxa"/>
          </w:tcPr>
          <w:p w14:paraId="02AD0352" w14:textId="7694EF00" w:rsidR="009307AC" w:rsidRPr="009307AC" w:rsidRDefault="003A642B" w:rsidP="001617D2">
            <w:pPr>
              <w:jc w:val="right"/>
              <w:rPr>
                <w:sz w:val="20"/>
                <w:szCs w:val="20"/>
                <w:highlight w:val="yellow"/>
              </w:rPr>
            </w:pPr>
            <w:r>
              <w:rPr>
                <w:rFonts w:asciiTheme="minorHAnsi" w:hAnsiTheme="minorHAnsi" w:cstheme="minorHAnsi"/>
                <w:iCs/>
                <w:szCs w:val="22"/>
              </w:rPr>
              <w:t>3.414</w:t>
            </w:r>
          </w:p>
        </w:tc>
        <w:tc>
          <w:tcPr>
            <w:tcW w:w="1368" w:type="dxa"/>
          </w:tcPr>
          <w:p w14:paraId="4265147D"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1.079</w:t>
            </w:r>
          </w:p>
        </w:tc>
        <w:tc>
          <w:tcPr>
            <w:tcW w:w="1034" w:type="dxa"/>
          </w:tcPr>
          <w:p w14:paraId="3ACFE5FD" w14:textId="77777777" w:rsidR="009307AC" w:rsidRPr="009307AC" w:rsidRDefault="009307AC" w:rsidP="001617D2">
            <w:pPr>
              <w:jc w:val="right"/>
              <w:rPr>
                <w:sz w:val="20"/>
                <w:szCs w:val="20"/>
                <w:highlight w:val="yellow"/>
              </w:rPr>
            </w:pPr>
            <w:r w:rsidRPr="009307AC">
              <w:rPr>
                <w:rFonts w:asciiTheme="minorHAnsi" w:hAnsiTheme="minorHAnsi" w:cstheme="minorHAnsi"/>
                <w:iCs/>
                <w:szCs w:val="22"/>
              </w:rPr>
              <w:t>4.493</w:t>
            </w:r>
          </w:p>
        </w:tc>
        <w:tc>
          <w:tcPr>
            <w:tcW w:w="3681" w:type="dxa"/>
          </w:tcPr>
          <w:p w14:paraId="54B6FEF0" w14:textId="6ED6C968" w:rsidR="009307AC" w:rsidRPr="009307AC" w:rsidRDefault="004D4EBA" w:rsidP="001617D2">
            <w:pPr>
              <w:rPr>
                <w:sz w:val="20"/>
                <w:szCs w:val="20"/>
              </w:rPr>
            </w:pPr>
            <w:r>
              <w:rPr>
                <w:rFonts w:asciiTheme="minorHAnsi" w:hAnsiTheme="minorHAnsi" w:cstheme="minorHAnsi"/>
                <w:iCs/>
                <w:szCs w:val="22"/>
              </w:rPr>
              <w:t>The</w:t>
            </w:r>
            <w:r w:rsidR="009307AC" w:rsidRPr="009307AC">
              <w:rPr>
                <w:rFonts w:asciiTheme="minorHAnsi" w:hAnsiTheme="minorHAnsi" w:cstheme="minorHAnsi"/>
                <w:iCs/>
                <w:szCs w:val="22"/>
              </w:rPr>
              <w:t xml:space="preserve"> underspend of $</w:t>
            </w:r>
            <w:r w:rsidR="0070521B">
              <w:rPr>
                <w:rFonts w:asciiTheme="minorHAnsi" w:hAnsiTheme="minorHAnsi" w:cstheme="minorHAnsi"/>
                <w:iCs/>
                <w:szCs w:val="22"/>
              </w:rPr>
              <w:t>3.414</w:t>
            </w:r>
            <w:r w:rsidR="009307AC" w:rsidRPr="009307AC">
              <w:rPr>
                <w:rFonts w:asciiTheme="minorHAnsi" w:hAnsiTheme="minorHAnsi" w:cstheme="minorHAnsi"/>
                <w:iCs/>
                <w:szCs w:val="22"/>
              </w:rPr>
              <w:t>m is driven by the timing of construction progress payments on the Auckland public hearing space. Construction was shut down Wednesday 25 March in response to the Government Alert Level 4 announcement. The financial impacts of the shut</w:t>
            </w:r>
            <w:r>
              <w:rPr>
                <w:rFonts w:asciiTheme="minorHAnsi" w:hAnsiTheme="minorHAnsi" w:cstheme="minorHAnsi"/>
                <w:iCs/>
                <w:szCs w:val="22"/>
              </w:rPr>
              <w:t>-</w:t>
            </w:r>
            <w:r w:rsidR="009307AC" w:rsidRPr="009307AC">
              <w:rPr>
                <w:rFonts w:asciiTheme="minorHAnsi" w:hAnsiTheme="minorHAnsi" w:cstheme="minorHAnsi"/>
                <w:iCs/>
                <w:szCs w:val="22"/>
              </w:rPr>
              <w:t>down will be worked through over the coming months.</w:t>
            </w:r>
          </w:p>
        </w:tc>
      </w:tr>
    </w:tbl>
    <w:p w14:paraId="5CD4B8C1" w14:textId="77777777" w:rsidR="009307AC" w:rsidRPr="009307AC" w:rsidRDefault="009307AC" w:rsidP="009307AC">
      <w:pPr>
        <w:spacing w:before="0" w:after="120"/>
        <w:rPr>
          <w:sz w:val="20"/>
          <w:szCs w:val="20"/>
        </w:rPr>
      </w:pPr>
      <w:r w:rsidRPr="009307AC">
        <w:rPr>
          <w:sz w:val="20"/>
          <w:szCs w:val="20"/>
        </w:rPr>
        <w:t>*YTD spend for the 9 months of 19/20 financial year (1 July 2019 to 31 March 2020)</w:t>
      </w:r>
    </w:p>
    <w:p w14:paraId="67C09EED" w14:textId="77777777" w:rsidR="009307AC" w:rsidRPr="009307AC" w:rsidRDefault="009307AC" w:rsidP="009307AC">
      <w:pPr>
        <w:spacing w:before="0" w:after="120"/>
        <w:rPr>
          <w:sz w:val="20"/>
          <w:szCs w:val="20"/>
        </w:rPr>
      </w:pPr>
      <w:r w:rsidRPr="009307AC">
        <w:rPr>
          <w:sz w:val="20"/>
          <w:szCs w:val="20"/>
        </w:rPr>
        <w:t># Whole of life costs from inception of the Royal Commission Inquiry</w:t>
      </w:r>
    </w:p>
    <w:p w14:paraId="639DC9A1" w14:textId="77777777" w:rsidR="009307AC" w:rsidRPr="009307AC" w:rsidRDefault="009307AC" w:rsidP="009307AC">
      <w:pPr>
        <w:rPr>
          <w:sz w:val="2"/>
          <w:szCs w:val="2"/>
        </w:rPr>
      </w:pPr>
    </w:p>
    <w:p w14:paraId="688B417B" w14:textId="415BFB1A" w:rsidR="007F4D6E" w:rsidRDefault="007F4D6E" w:rsidP="00543B7A">
      <w:pPr>
        <w:spacing w:before="0" w:after="0"/>
        <w:rPr>
          <w:rFonts w:ascii="Arial" w:hAnsi="Arial" w:cs="Arial"/>
          <w:sz w:val="22"/>
        </w:rPr>
      </w:pPr>
    </w:p>
    <w:p w14:paraId="00BCF21C" w14:textId="6BA0D198" w:rsidR="007F4D6E" w:rsidRDefault="007F4D6E" w:rsidP="00543B7A">
      <w:pPr>
        <w:spacing w:before="0" w:after="0"/>
        <w:rPr>
          <w:rFonts w:ascii="Arial" w:hAnsi="Arial" w:cs="Arial"/>
          <w:sz w:val="22"/>
        </w:rPr>
      </w:pPr>
    </w:p>
    <w:p w14:paraId="1395A19E" w14:textId="6E65F0E7" w:rsidR="007F4D6E" w:rsidRDefault="007F4D6E" w:rsidP="00543B7A">
      <w:pPr>
        <w:spacing w:before="0" w:after="0"/>
        <w:rPr>
          <w:rFonts w:ascii="Arial" w:hAnsi="Arial" w:cs="Arial"/>
          <w:sz w:val="22"/>
        </w:rPr>
      </w:pPr>
    </w:p>
    <w:p w14:paraId="57D7CB32" w14:textId="0C9B31FB" w:rsidR="007F4D6E" w:rsidRDefault="007F4D6E" w:rsidP="00543B7A">
      <w:pPr>
        <w:spacing w:before="0" w:after="0"/>
        <w:rPr>
          <w:rFonts w:ascii="Arial" w:hAnsi="Arial" w:cs="Arial"/>
          <w:sz w:val="22"/>
        </w:rPr>
      </w:pPr>
    </w:p>
    <w:p w14:paraId="38D9247B" w14:textId="77777777" w:rsidR="007F4D6E" w:rsidRPr="007F4D6E" w:rsidRDefault="007F4D6E" w:rsidP="00543B7A">
      <w:pPr>
        <w:spacing w:before="0" w:after="0"/>
        <w:rPr>
          <w:rFonts w:ascii="Arial" w:hAnsi="Arial" w:cs="Arial"/>
          <w:sz w:val="22"/>
        </w:rPr>
      </w:pPr>
    </w:p>
    <w:p w14:paraId="062454C7" w14:textId="77777777" w:rsidR="000816E2" w:rsidRDefault="000816E2" w:rsidP="00603635">
      <w:pPr>
        <w:rPr>
          <w:b/>
        </w:rPr>
      </w:pPr>
    </w:p>
    <w:p w14:paraId="253F4DA1" w14:textId="77777777" w:rsidR="00BD3187" w:rsidRDefault="00BD3187" w:rsidP="00603635">
      <w:pPr>
        <w:rPr>
          <w:b/>
        </w:rPr>
      </w:pPr>
    </w:p>
    <w:bookmarkEnd w:id="0"/>
    <w:p w14:paraId="14388F33" w14:textId="136E645B" w:rsidR="004A199A" w:rsidRPr="00B36C8E" w:rsidRDefault="004A199A">
      <w:pPr>
        <w:keepLines w:val="0"/>
        <w:rPr>
          <w:sz w:val="2"/>
          <w:szCs w:val="2"/>
        </w:rPr>
      </w:pPr>
    </w:p>
    <w:sectPr w:rsidR="004A199A" w:rsidRPr="00B36C8E" w:rsidSect="00CF4BE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9A599" w14:textId="77777777" w:rsidR="00E24D54" w:rsidRDefault="00E24D54">
      <w:r>
        <w:separator/>
      </w:r>
    </w:p>
    <w:p w14:paraId="72E29A99" w14:textId="77777777" w:rsidR="00E24D54" w:rsidRDefault="00E24D54"/>
    <w:p w14:paraId="7A51CC60" w14:textId="77777777" w:rsidR="00E24D54" w:rsidRDefault="00E24D54"/>
  </w:endnote>
  <w:endnote w:type="continuationSeparator" w:id="0">
    <w:p w14:paraId="250E8516" w14:textId="77777777" w:rsidR="00E24D54" w:rsidRDefault="00E24D54">
      <w:r>
        <w:continuationSeparator/>
      </w:r>
    </w:p>
    <w:p w14:paraId="39145DE1" w14:textId="77777777" w:rsidR="00E24D54" w:rsidRDefault="00E24D54"/>
    <w:p w14:paraId="5D62661D" w14:textId="77777777" w:rsidR="00E24D54" w:rsidRDefault="00E24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Proxima Nova">
    <w:altName w:val="Tahom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638C" w14:textId="77777777" w:rsidR="005B46E9" w:rsidRDefault="005B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9208"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8F6AA9">
      <w:rPr>
        <w:noProof/>
      </w:rPr>
      <w:t>1</w:t>
    </w:r>
    <w:r>
      <w:fldChar w:fldCharType="end"/>
    </w:r>
    <w:r>
      <w:t xml:space="preserve"> of </w:t>
    </w:r>
    <w:r w:rsidR="00DF316C">
      <w:rPr>
        <w:noProof/>
      </w:rPr>
      <w:fldChar w:fldCharType="begin"/>
    </w:r>
    <w:r w:rsidR="00DF316C">
      <w:rPr>
        <w:noProof/>
      </w:rPr>
      <w:instrText xml:space="preserve"> NUMPAGES   \* MERGEFORMAT </w:instrText>
    </w:r>
    <w:r w:rsidR="00DF316C">
      <w:rPr>
        <w:noProof/>
      </w:rPr>
      <w:fldChar w:fldCharType="separate"/>
    </w:r>
    <w:r w:rsidR="008F6AA9">
      <w:rPr>
        <w:noProof/>
      </w:rPr>
      <w:t>4</w:t>
    </w:r>
    <w:r w:rsidR="00DF31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DF17" w14:textId="77777777" w:rsidR="005B46E9" w:rsidRDefault="005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BE5AB" w14:textId="77777777" w:rsidR="00E24D54" w:rsidRDefault="00E24D54" w:rsidP="00FB1990">
      <w:pPr>
        <w:pStyle w:val="Spacer"/>
      </w:pPr>
      <w:r>
        <w:separator/>
      </w:r>
    </w:p>
    <w:p w14:paraId="3486B095" w14:textId="77777777" w:rsidR="00E24D54" w:rsidRDefault="00E24D54" w:rsidP="00FB1990">
      <w:pPr>
        <w:pStyle w:val="Spacer"/>
      </w:pPr>
    </w:p>
  </w:footnote>
  <w:footnote w:type="continuationSeparator" w:id="0">
    <w:p w14:paraId="29F36BD3" w14:textId="77777777" w:rsidR="00E24D54" w:rsidRDefault="00E24D54">
      <w:r>
        <w:continuationSeparator/>
      </w:r>
    </w:p>
    <w:p w14:paraId="7A7C419C" w14:textId="77777777" w:rsidR="00E24D54" w:rsidRDefault="00E24D54"/>
    <w:p w14:paraId="0BEDF436" w14:textId="77777777" w:rsidR="00E24D54" w:rsidRDefault="00E24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C9B6" w14:textId="77777777" w:rsidR="005B46E9" w:rsidRDefault="005B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72AC" w14:textId="54818F02" w:rsidR="006130AF" w:rsidRDefault="00754080" w:rsidP="00754080">
    <w:pPr>
      <w:pStyle w:val="Header"/>
      <w:ind w:left="2268" w:firstLine="567"/>
    </w:pPr>
    <w:r>
      <w:rPr>
        <w:noProof/>
        <w:lang w:eastAsia="en-NZ"/>
      </w:rPr>
      <w:drawing>
        <wp:inline distT="0" distB="0" distL="0" distR="0" wp14:anchorId="3183A1EF" wp14:editId="21E822CC">
          <wp:extent cx="3552825" cy="762000"/>
          <wp:effectExtent l="0" t="0" r="9525" b="0"/>
          <wp:docPr id="1" name="Picture 1" descr="cid:image003.jpg@01D530DE.11DFF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30DE.11DFF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52825" cy="762000"/>
                  </a:xfrm>
                  <a:prstGeom prst="rect">
                    <a:avLst/>
                  </a:prstGeom>
                  <a:noFill/>
                  <a:ln>
                    <a:noFill/>
                  </a:ln>
                </pic:spPr>
              </pic:pic>
            </a:graphicData>
          </a:graphic>
        </wp:inline>
      </w:drawing>
    </w:r>
  </w:p>
  <w:p w14:paraId="02B1F25A"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AD45" w14:textId="77777777" w:rsidR="005B46E9" w:rsidRDefault="005B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F473A99"/>
    <w:multiLevelType w:val="hybridMultilevel"/>
    <w:tmpl w:val="90CC760E"/>
    <w:lvl w:ilvl="0" w:tplc="52D4EA58">
      <w:start w:val="1"/>
      <w:numFmt w:val="bullet"/>
      <w:lvlText w:val="●"/>
      <w:lvlJc w:val="left"/>
      <w:pPr>
        <w:tabs>
          <w:tab w:val="num" w:pos="720"/>
        </w:tabs>
        <w:ind w:left="720" w:hanging="360"/>
      </w:pPr>
      <w:rPr>
        <w:rFonts w:ascii="Proxima Nova" w:hAnsi="Proxima Nova" w:hint="default"/>
      </w:rPr>
    </w:lvl>
    <w:lvl w:ilvl="1" w:tplc="D5C43B8A" w:tentative="1">
      <w:start w:val="1"/>
      <w:numFmt w:val="bullet"/>
      <w:lvlText w:val="●"/>
      <w:lvlJc w:val="left"/>
      <w:pPr>
        <w:tabs>
          <w:tab w:val="num" w:pos="1440"/>
        </w:tabs>
        <w:ind w:left="1440" w:hanging="360"/>
      </w:pPr>
      <w:rPr>
        <w:rFonts w:ascii="Proxima Nova" w:hAnsi="Proxima Nova" w:hint="default"/>
      </w:rPr>
    </w:lvl>
    <w:lvl w:ilvl="2" w:tplc="81AE5056" w:tentative="1">
      <w:start w:val="1"/>
      <w:numFmt w:val="bullet"/>
      <w:lvlText w:val="●"/>
      <w:lvlJc w:val="left"/>
      <w:pPr>
        <w:tabs>
          <w:tab w:val="num" w:pos="2160"/>
        </w:tabs>
        <w:ind w:left="2160" w:hanging="360"/>
      </w:pPr>
      <w:rPr>
        <w:rFonts w:ascii="Proxima Nova" w:hAnsi="Proxima Nova" w:hint="default"/>
      </w:rPr>
    </w:lvl>
    <w:lvl w:ilvl="3" w:tplc="6C7E94F6" w:tentative="1">
      <w:start w:val="1"/>
      <w:numFmt w:val="bullet"/>
      <w:lvlText w:val="●"/>
      <w:lvlJc w:val="left"/>
      <w:pPr>
        <w:tabs>
          <w:tab w:val="num" w:pos="2880"/>
        </w:tabs>
        <w:ind w:left="2880" w:hanging="360"/>
      </w:pPr>
      <w:rPr>
        <w:rFonts w:ascii="Proxima Nova" w:hAnsi="Proxima Nova" w:hint="default"/>
      </w:rPr>
    </w:lvl>
    <w:lvl w:ilvl="4" w:tplc="34FAD374" w:tentative="1">
      <w:start w:val="1"/>
      <w:numFmt w:val="bullet"/>
      <w:lvlText w:val="●"/>
      <w:lvlJc w:val="left"/>
      <w:pPr>
        <w:tabs>
          <w:tab w:val="num" w:pos="3600"/>
        </w:tabs>
        <w:ind w:left="3600" w:hanging="360"/>
      </w:pPr>
      <w:rPr>
        <w:rFonts w:ascii="Proxima Nova" w:hAnsi="Proxima Nova" w:hint="default"/>
      </w:rPr>
    </w:lvl>
    <w:lvl w:ilvl="5" w:tplc="ACCED996" w:tentative="1">
      <w:start w:val="1"/>
      <w:numFmt w:val="bullet"/>
      <w:lvlText w:val="●"/>
      <w:lvlJc w:val="left"/>
      <w:pPr>
        <w:tabs>
          <w:tab w:val="num" w:pos="4320"/>
        </w:tabs>
        <w:ind w:left="4320" w:hanging="360"/>
      </w:pPr>
      <w:rPr>
        <w:rFonts w:ascii="Proxima Nova" w:hAnsi="Proxima Nova" w:hint="default"/>
      </w:rPr>
    </w:lvl>
    <w:lvl w:ilvl="6" w:tplc="DB8661E6" w:tentative="1">
      <w:start w:val="1"/>
      <w:numFmt w:val="bullet"/>
      <w:lvlText w:val="●"/>
      <w:lvlJc w:val="left"/>
      <w:pPr>
        <w:tabs>
          <w:tab w:val="num" w:pos="5040"/>
        </w:tabs>
        <w:ind w:left="5040" w:hanging="360"/>
      </w:pPr>
      <w:rPr>
        <w:rFonts w:ascii="Proxima Nova" w:hAnsi="Proxima Nova" w:hint="default"/>
      </w:rPr>
    </w:lvl>
    <w:lvl w:ilvl="7" w:tplc="170C782A" w:tentative="1">
      <w:start w:val="1"/>
      <w:numFmt w:val="bullet"/>
      <w:lvlText w:val="●"/>
      <w:lvlJc w:val="left"/>
      <w:pPr>
        <w:tabs>
          <w:tab w:val="num" w:pos="5760"/>
        </w:tabs>
        <w:ind w:left="5760" w:hanging="360"/>
      </w:pPr>
      <w:rPr>
        <w:rFonts w:ascii="Proxima Nova" w:hAnsi="Proxima Nova" w:hint="default"/>
      </w:rPr>
    </w:lvl>
    <w:lvl w:ilvl="8" w:tplc="72188894" w:tentative="1">
      <w:start w:val="1"/>
      <w:numFmt w:val="bullet"/>
      <w:lvlText w:val="●"/>
      <w:lvlJc w:val="left"/>
      <w:pPr>
        <w:tabs>
          <w:tab w:val="num" w:pos="6480"/>
        </w:tabs>
        <w:ind w:left="6480" w:hanging="360"/>
      </w:pPr>
      <w:rPr>
        <w:rFonts w:ascii="Proxima Nova" w:hAnsi="Proxima Nova" w:hint="default"/>
      </w:rPr>
    </w:lvl>
  </w:abstractNum>
  <w:abstractNum w:abstractNumId="11" w15:restartNumberingAfterBreak="0">
    <w:nsid w:val="0FFB50E2"/>
    <w:multiLevelType w:val="hybridMultilevel"/>
    <w:tmpl w:val="5FBB78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7B28BE"/>
    <w:multiLevelType w:val="multilevel"/>
    <w:tmpl w:val="9E3257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22108BB"/>
    <w:multiLevelType w:val="hybridMultilevel"/>
    <w:tmpl w:val="497ECF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2833E20"/>
    <w:multiLevelType w:val="hybridMultilevel"/>
    <w:tmpl w:val="3C609514"/>
    <w:lvl w:ilvl="0" w:tplc="BEFEA6FA">
      <w:start w:val="1"/>
      <w:numFmt w:val="decimal"/>
      <w:lvlText w:val="%1."/>
      <w:lvlJc w:val="left"/>
      <w:pPr>
        <w:ind w:left="360" w:hanging="360"/>
      </w:pPr>
      <w:rPr>
        <w:b w:val="0"/>
        <w:color w:val="auto"/>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62B7D35"/>
    <w:multiLevelType w:val="hybridMultilevel"/>
    <w:tmpl w:val="6EBECAC6"/>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8" w15:restartNumberingAfterBreak="0">
    <w:nsid w:val="26316950"/>
    <w:multiLevelType w:val="hybridMultilevel"/>
    <w:tmpl w:val="D520E5C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36801D76"/>
    <w:multiLevelType w:val="hybridMultilevel"/>
    <w:tmpl w:val="0FDE1D54"/>
    <w:lvl w:ilvl="0" w:tplc="A7A2847E">
      <w:start w:val="1"/>
      <w:numFmt w:val="lowerLetter"/>
      <w:lvlText w:val="%1."/>
      <w:lvlJc w:val="left"/>
      <w:pPr>
        <w:ind w:left="818" w:hanging="360"/>
      </w:pPr>
      <w:rPr>
        <w:b w:val="0"/>
        <w:i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36B57819"/>
    <w:multiLevelType w:val="multilevel"/>
    <w:tmpl w:val="22B49A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hint="default"/>
        <w:b/>
        <w:i w:val="0"/>
        <w:color w:val="000000" w:themeColor="text1"/>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2642EEE"/>
    <w:multiLevelType w:val="hybridMultilevel"/>
    <w:tmpl w:val="96D6FE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AF7584"/>
    <w:multiLevelType w:val="multilevel"/>
    <w:tmpl w:val="13420EF4"/>
    <w:lvl w:ilvl="0">
      <w:start w:val="2"/>
      <w:numFmt w:val="decimal"/>
      <w:lvlText w:val="%1."/>
      <w:lvlJc w:val="left"/>
      <w:pPr>
        <w:ind w:left="720" w:hanging="360"/>
      </w:pPr>
      <w:rPr>
        <w:rFonts w:hint="default"/>
      </w:rPr>
    </w:lvl>
    <w:lvl w:ilvl="1">
      <w:start w:val="1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b/>
        <w:i w:val="0"/>
        <w:color w:val="000000" w:themeColor="text1"/>
        <w:sz w:val="22"/>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10E3ABB"/>
    <w:multiLevelType w:val="hybridMultilevel"/>
    <w:tmpl w:val="4E66EEA4"/>
    <w:lvl w:ilvl="0" w:tplc="60843A70">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56320D97"/>
    <w:multiLevelType w:val="multilevel"/>
    <w:tmpl w:val="A13E6F64"/>
    <w:lvl w:ilvl="0">
      <w:start w:val="2"/>
      <w:numFmt w:val="decimal"/>
      <w:lvlText w:val="%1."/>
      <w:lvlJc w:val="left"/>
      <w:pPr>
        <w:ind w:left="720" w:hanging="360"/>
      </w:pPr>
      <w:rPr>
        <w:rFonts w:hint="default"/>
      </w:rPr>
    </w:lvl>
    <w:lvl w:ilvl="1">
      <w:start w:val="1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b/>
        <w:i w:val="0"/>
        <w:color w:val="000000" w:themeColor="text1"/>
        <w:sz w:val="22"/>
      </w:rPr>
    </w:lvl>
    <w:lvl w:ilvl="3">
      <w:start w:val="1"/>
      <w:numFmt w:val="lowerLetter"/>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15:restartNumberingAfterBreak="0">
    <w:nsid w:val="61496EDD"/>
    <w:multiLevelType w:val="hybridMultilevel"/>
    <w:tmpl w:val="CACEC3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4" w15:restartNumberingAfterBreak="0">
    <w:nsid w:val="666D3290"/>
    <w:multiLevelType w:val="hybridMultilevel"/>
    <w:tmpl w:val="5B3ED1E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15:restartNumberingAfterBreak="0">
    <w:nsid w:val="751579F9"/>
    <w:multiLevelType w:val="hybridMultilevel"/>
    <w:tmpl w:val="423A2E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0" w15:restartNumberingAfterBreak="0">
    <w:nsid w:val="7A7E15B6"/>
    <w:multiLevelType w:val="hybridMultilevel"/>
    <w:tmpl w:val="15D25C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C8F3C54"/>
    <w:multiLevelType w:val="hybridMultilevel"/>
    <w:tmpl w:val="510245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9"/>
  </w:num>
  <w:num w:numId="8">
    <w:abstractNumId w:val="30"/>
  </w:num>
  <w:num w:numId="9">
    <w:abstractNumId w:val="23"/>
  </w:num>
  <w:num w:numId="10">
    <w:abstractNumId w:val="13"/>
  </w:num>
  <w:num w:numId="11">
    <w:abstractNumId w:val="31"/>
  </w:num>
  <w:num w:numId="12">
    <w:abstractNumId w:val="35"/>
  </w:num>
  <w:num w:numId="13">
    <w:abstractNumId w:val="37"/>
  </w:num>
  <w:num w:numId="14">
    <w:abstractNumId w:val="7"/>
  </w:num>
  <w:num w:numId="15">
    <w:abstractNumId w:val="20"/>
  </w:num>
  <w:num w:numId="16">
    <w:abstractNumId w:val="39"/>
  </w:num>
  <w:num w:numId="17">
    <w:abstractNumId w:val="36"/>
  </w:num>
  <w:num w:numId="18">
    <w:abstractNumId w:val="33"/>
  </w:num>
  <w:num w:numId="19">
    <w:abstractNumId w:val="25"/>
  </w:num>
  <w:num w:numId="20">
    <w:abstractNumId w:val="22"/>
  </w:num>
  <w:num w:numId="21">
    <w:abstractNumId w:val="9"/>
  </w:num>
  <w:num w:numId="22">
    <w:abstractNumId w:val="6"/>
  </w:num>
  <w:num w:numId="23">
    <w:abstractNumId w:val="14"/>
  </w:num>
  <w:num w:numId="24">
    <w:abstractNumId w:val="8"/>
  </w:num>
  <w:num w:numId="25">
    <w:abstractNumId w:val="24"/>
  </w:num>
  <w:num w:numId="26">
    <w:abstractNumId w:val="32"/>
  </w:num>
  <w:num w:numId="27">
    <w:abstractNumId w:val="40"/>
  </w:num>
  <w:num w:numId="28">
    <w:abstractNumId w:val="3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7"/>
  </w:num>
  <w:num w:numId="32">
    <w:abstractNumId w:val="41"/>
  </w:num>
  <w:num w:numId="33">
    <w:abstractNumId w:val="41"/>
  </w:num>
  <w:num w:numId="34">
    <w:abstractNumId w:val="12"/>
  </w:num>
  <w:num w:numId="35">
    <w:abstractNumId w:val="21"/>
  </w:num>
  <w:num w:numId="36">
    <w:abstractNumId w:val="16"/>
  </w:num>
  <w:num w:numId="37">
    <w:abstractNumId w:val="19"/>
  </w:num>
  <w:num w:numId="38">
    <w:abstractNumId w:val="38"/>
  </w:num>
  <w:num w:numId="39">
    <w:abstractNumId w:val="11"/>
  </w:num>
  <w:num w:numId="40">
    <w:abstractNumId w:val="18"/>
  </w:num>
  <w:num w:numId="41">
    <w:abstractNumId w:val="15"/>
  </w:num>
  <w:num w:numId="42">
    <w:abstractNumId w:val="28"/>
  </w:num>
  <w:num w:numId="43">
    <w:abstractNumId w:val="15"/>
  </w:num>
  <w:num w:numId="4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758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84"/>
    <w:rsid w:val="0000195F"/>
    <w:rsid w:val="00003360"/>
    <w:rsid w:val="00003FC7"/>
    <w:rsid w:val="00005919"/>
    <w:rsid w:val="00007C42"/>
    <w:rsid w:val="00013FB7"/>
    <w:rsid w:val="00015020"/>
    <w:rsid w:val="0001647B"/>
    <w:rsid w:val="00020010"/>
    <w:rsid w:val="00023CC1"/>
    <w:rsid w:val="00034673"/>
    <w:rsid w:val="00036671"/>
    <w:rsid w:val="00037226"/>
    <w:rsid w:val="000409E2"/>
    <w:rsid w:val="00042821"/>
    <w:rsid w:val="00044EA1"/>
    <w:rsid w:val="0004671C"/>
    <w:rsid w:val="00053CC5"/>
    <w:rsid w:val="00054574"/>
    <w:rsid w:val="0005649A"/>
    <w:rsid w:val="000638B2"/>
    <w:rsid w:val="00063BB2"/>
    <w:rsid w:val="00065F18"/>
    <w:rsid w:val="00067005"/>
    <w:rsid w:val="00076035"/>
    <w:rsid w:val="00077013"/>
    <w:rsid w:val="000816E2"/>
    <w:rsid w:val="00091C3A"/>
    <w:rsid w:val="00093499"/>
    <w:rsid w:val="000954A8"/>
    <w:rsid w:val="000A4B2E"/>
    <w:rsid w:val="000D06A7"/>
    <w:rsid w:val="000D61F6"/>
    <w:rsid w:val="000D71AF"/>
    <w:rsid w:val="000E3240"/>
    <w:rsid w:val="000E677B"/>
    <w:rsid w:val="000E78B0"/>
    <w:rsid w:val="000F4ADF"/>
    <w:rsid w:val="000F61AF"/>
    <w:rsid w:val="0010171C"/>
    <w:rsid w:val="00102FAD"/>
    <w:rsid w:val="0010647D"/>
    <w:rsid w:val="001106DD"/>
    <w:rsid w:val="00111501"/>
    <w:rsid w:val="00121870"/>
    <w:rsid w:val="00123182"/>
    <w:rsid w:val="00126FDE"/>
    <w:rsid w:val="0013703F"/>
    <w:rsid w:val="00140ED2"/>
    <w:rsid w:val="00143E7C"/>
    <w:rsid w:val="0014415C"/>
    <w:rsid w:val="0014565E"/>
    <w:rsid w:val="00145F91"/>
    <w:rsid w:val="001536C9"/>
    <w:rsid w:val="00157200"/>
    <w:rsid w:val="0016433D"/>
    <w:rsid w:val="00172CA9"/>
    <w:rsid w:val="001778CF"/>
    <w:rsid w:val="00184C0F"/>
    <w:rsid w:val="00192291"/>
    <w:rsid w:val="001A2EDE"/>
    <w:rsid w:val="001A5F55"/>
    <w:rsid w:val="001B1F63"/>
    <w:rsid w:val="001C0031"/>
    <w:rsid w:val="001C0C30"/>
    <w:rsid w:val="001D0111"/>
    <w:rsid w:val="001D7EAE"/>
    <w:rsid w:val="001E64FC"/>
    <w:rsid w:val="001F0724"/>
    <w:rsid w:val="002007DF"/>
    <w:rsid w:val="00205FE8"/>
    <w:rsid w:val="0020698B"/>
    <w:rsid w:val="00206BA3"/>
    <w:rsid w:val="002116A3"/>
    <w:rsid w:val="00215160"/>
    <w:rsid w:val="00221AE4"/>
    <w:rsid w:val="002224B4"/>
    <w:rsid w:val="00226D5E"/>
    <w:rsid w:val="00237A3D"/>
    <w:rsid w:val="00240E83"/>
    <w:rsid w:val="00241577"/>
    <w:rsid w:val="002502D1"/>
    <w:rsid w:val="00260A17"/>
    <w:rsid w:val="00270EEC"/>
    <w:rsid w:val="002777D8"/>
    <w:rsid w:val="002806A2"/>
    <w:rsid w:val="00297CC7"/>
    <w:rsid w:val="002A194F"/>
    <w:rsid w:val="002A4BD9"/>
    <w:rsid w:val="002A4FE7"/>
    <w:rsid w:val="002A66DC"/>
    <w:rsid w:val="002B1CEB"/>
    <w:rsid w:val="002B2295"/>
    <w:rsid w:val="002B6DB4"/>
    <w:rsid w:val="002C1C69"/>
    <w:rsid w:val="002D3125"/>
    <w:rsid w:val="002D4F42"/>
    <w:rsid w:val="002E3F33"/>
    <w:rsid w:val="002E4B4B"/>
    <w:rsid w:val="002F346D"/>
    <w:rsid w:val="003001C4"/>
    <w:rsid w:val="0030084C"/>
    <w:rsid w:val="003039E1"/>
    <w:rsid w:val="0031147C"/>
    <w:rsid w:val="003129BA"/>
    <w:rsid w:val="003148FC"/>
    <w:rsid w:val="0032132E"/>
    <w:rsid w:val="00321FE5"/>
    <w:rsid w:val="00330820"/>
    <w:rsid w:val="003465C8"/>
    <w:rsid w:val="0037016B"/>
    <w:rsid w:val="00370FC0"/>
    <w:rsid w:val="00373206"/>
    <w:rsid w:val="003737ED"/>
    <w:rsid w:val="00375B80"/>
    <w:rsid w:val="00376C08"/>
    <w:rsid w:val="00377352"/>
    <w:rsid w:val="003845B1"/>
    <w:rsid w:val="003A10DA"/>
    <w:rsid w:val="003A12C8"/>
    <w:rsid w:val="003A642B"/>
    <w:rsid w:val="003A6FFE"/>
    <w:rsid w:val="003A7695"/>
    <w:rsid w:val="003B3A23"/>
    <w:rsid w:val="003B6592"/>
    <w:rsid w:val="003C772C"/>
    <w:rsid w:val="003E6B40"/>
    <w:rsid w:val="003F15BD"/>
    <w:rsid w:val="003F1A1F"/>
    <w:rsid w:val="003F2B58"/>
    <w:rsid w:val="003F5886"/>
    <w:rsid w:val="0040020C"/>
    <w:rsid w:val="00401CA0"/>
    <w:rsid w:val="0040700B"/>
    <w:rsid w:val="00407F54"/>
    <w:rsid w:val="00410AF5"/>
    <w:rsid w:val="00410D80"/>
    <w:rsid w:val="00411341"/>
    <w:rsid w:val="00413095"/>
    <w:rsid w:val="00413966"/>
    <w:rsid w:val="00414502"/>
    <w:rsid w:val="00415015"/>
    <w:rsid w:val="00415CDB"/>
    <w:rsid w:val="004231DC"/>
    <w:rsid w:val="0042551E"/>
    <w:rsid w:val="00433AD8"/>
    <w:rsid w:val="00437A53"/>
    <w:rsid w:val="00441DD0"/>
    <w:rsid w:val="004552A0"/>
    <w:rsid w:val="00457545"/>
    <w:rsid w:val="00457E34"/>
    <w:rsid w:val="00460A83"/>
    <w:rsid w:val="00460B3F"/>
    <w:rsid w:val="00464752"/>
    <w:rsid w:val="004652C3"/>
    <w:rsid w:val="0047259A"/>
    <w:rsid w:val="00472A55"/>
    <w:rsid w:val="0047374C"/>
    <w:rsid w:val="00475FF4"/>
    <w:rsid w:val="00476068"/>
    <w:rsid w:val="004763B3"/>
    <w:rsid w:val="0047737C"/>
    <w:rsid w:val="00477619"/>
    <w:rsid w:val="00477D24"/>
    <w:rsid w:val="00486E6E"/>
    <w:rsid w:val="004875DF"/>
    <w:rsid w:val="00487C1D"/>
    <w:rsid w:val="00493F15"/>
    <w:rsid w:val="00494C6F"/>
    <w:rsid w:val="00495DD3"/>
    <w:rsid w:val="004A199A"/>
    <w:rsid w:val="004A5823"/>
    <w:rsid w:val="004B0AAF"/>
    <w:rsid w:val="004B214C"/>
    <w:rsid w:val="004B3924"/>
    <w:rsid w:val="004B49FF"/>
    <w:rsid w:val="004C4DDD"/>
    <w:rsid w:val="004C5F40"/>
    <w:rsid w:val="004C6953"/>
    <w:rsid w:val="004C7001"/>
    <w:rsid w:val="004D1706"/>
    <w:rsid w:val="004D243F"/>
    <w:rsid w:val="004D4EBA"/>
    <w:rsid w:val="004D7473"/>
    <w:rsid w:val="004E4303"/>
    <w:rsid w:val="004F11C0"/>
    <w:rsid w:val="004F2E8A"/>
    <w:rsid w:val="004F4ED0"/>
    <w:rsid w:val="004F55E1"/>
    <w:rsid w:val="004F733D"/>
    <w:rsid w:val="00501C4B"/>
    <w:rsid w:val="005028A7"/>
    <w:rsid w:val="005078B7"/>
    <w:rsid w:val="00510D73"/>
    <w:rsid w:val="00512ACB"/>
    <w:rsid w:val="0052216D"/>
    <w:rsid w:val="00526115"/>
    <w:rsid w:val="00533FAF"/>
    <w:rsid w:val="005366B6"/>
    <w:rsid w:val="00543B7A"/>
    <w:rsid w:val="00554BCD"/>
    <w:rsid w:val="00555F60"/>
    <w:rsid w:val="00560161"/>
    <w:rsid w:val="005605A5"/>
    <w:rsid w:val="00560B3C"/>
    <w:rsid w:val="00561A97"/>
    <w:rsid w:val="00563DAC"/>
    <w:rsid w:val="00565AF2"/>
    <w:rsid w:val="005675E0"/>
    <w:rsid w:val="00570103"/>
    <w:rsid w:val="00570A71"/>
    <w:rsid w:val="00570C00"/>
    <w:rsid w:val="00575727"/>
    <w:rsid w:val="00576AAA"/>
    <w:rsid w:val="00580533"/>
    <w:rsid w:val="00581CF4"/>
    <w:rsid w:val="0058206B"/>
    <w:rsid w:val="005850AF"/>
    <w:rsid w:val="00585690"/>
    <w:rsid w:val="00585751"/>
    <w:rsid w:val="00591BDC"/>
    <w:rsid w:val="00594AAA"/>
    <w:rsid w:val="00595B33"/>
    <w:rsid w:val="0059662F"/>
    <w:rsid w:val="005A3D59"/>
    <w:rsid w:val="005B46E9"/>
    <w:rsid w:val="005B7254"/>
    <w:rsid w:val="005C0CD3"/>
    <w:rsid w:val="005C29C5"/>
    <w:rsid w:val="005D3066"/>
    <w:rsid w:val="005D5214"/>
    <w:rsid w:val="005D6FA3"/>
    <w:rsid w:val="005E4B13"/>
    <w:rsid w:val="005E4C02"/>
    <w:rsid w:val="005F01DF"/>
    <w:rsid w:val="005F76CC"/>
    <w:rsid w:val="005F7FF8"/>
    <w:rsid w:val="006004C4"/>
    <w:rsid w:val="00600CA4"/>
    <w:rsid w:val="00602416"/>
    <w:rsid w:val="006025CE"/>
    <w:rsid w:val="00603635"/>
    <w:rsid w:val="006041F2"/>
    <w:rsid w:val="006050AA"/>
    <w:rsid w:val="006064F5"/>
    <w:rsid w:val="006130AF"/>
    <w:rsid w:val="00617298"/>
    <w:rsid w:val="00622DA4"/>
    <w:rsid w:val="006262D4"/>
    <w:rsid w:val="00637753"/>
    <w:rsid w:val="00645DD1"/>
    <w:rsid w:val="006528FE"/>
    <w:rsid w:val="00660CE4"/>
    <w:rsid w:val="00660F62"/>
    <w:rsid w:val="00662716"/>
    <w:rsid w:val="00674E08"/>
    <w:rsid w:val="00676615"/>
    <w:rsid w:val="00676C9F"/>
    <w:rsid w:val="00677B13"/>
    <w:rsid w:val="00677C11"/>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17F5"/>
    <w:rsid w:val="006D638F"/>
    <w:rsid w:val="006D7384"/>
    <w:rsid w:val="006E4881"/>
    <w:rsid w:val="006E7BF7"/>
    <w:rsid w:val="006F2A81"/>
    <w:rsid w:val="00702F2C"/>
    <w:rsid w:val="0070521B"/>
    <w:rsid w:val="007068C8"/>
    <w:rsid w:val="00715B8F"/>
    <w:rsid w:val="007165E2"/>
    <w:rsid w:val="0073106E"/>
    <w:rsid w:val="00750D66"/>
    <w:rsid w:val="00752D54"/>
    <w:rsid w:val="00754080"/>
    <w:rsid w:val="00755142"/>
    <w:rsid w:val="00756BB7"/>
    <w:rsid w:val="0075764B"/>
    <w:rsid w:val="00760C01"/>
    <w:rsid w:val="00761293"/>
    <w:rsid w:val="00764A6A"/>
    <w:rsid w:val="00767C04"/>
    <w:rsid w:val="007736A2"/>
    <w:rsid w:val="007824E9"/>
    <w:rsid w:val="00793B79"/>
    <w:rsid w:val="007A00BC"/>
    <w:rsid w:val="007A40FA"/>
    <w:rsid w:val="007A5A49"/>
    <w:rsid w:val="007A6226"/>
    <w:rsid w:val="007B35AD"/>
    <w:rsid w:val="007B3C61"/>
    <w:rsid w:val="007B5376"/>
    <w:rsid w:val="007C573E"/>
    <w:rsid w:val="007D1918"/>
    <w:rsid w:val="007E0BB1"/>
    <w:rsid w:val="007E2BAE"/>
    <w:rsid w:val="007E35FC"/>
    <w:rsid w:val="007F03F2"/>
    <w:rsid w:val="007F0C3F"/>
    <w:rsid w:val="007F1A71"/>
    <w:rsid w:val="007F4D6E"/>
    <w:rsid w:val="008004CB"/>
    <w:rsid w:val="008031DF"/>
    <w:rsid w:val="008065D7"/>
    <w:rsid w:val="008111A3"/>
    <w:rsid w:val="00813003"/>
    <w:rsid w:val="00816E30"/>
    <w:rsid w:val="0082264B"/>
    <w:rsid w:val="0082765B"/>
    <w:rsid w:val="008352B1"/>
    <w:rsid w:val="008353E7"/>
    <w:rsid w:val="00835BD7"/>
    <w:rsid w:val="008368E5"/>
    <w:rsid w:val="008428E8"/>
    <w:rsid w:val="00843D71"/>
    <w:rsid w:val="00846F11"/>
    <w:rsid w:val="0084745A"/>
    <w:rsid w:val="008504D0"/>
    <w:rsid w:val="00864121"/>
    <w:rsid w:val="00870045"/>
    <w:rsid w:val="0087022E"/>
    <w:rsid w:val="0087028C"/>
    <w:rsid w:val="00876E5F"/>
    <w:rsid w:val="00884A12"/>
    <w:rsid w:val="00890CE4"/>
    <w:rsid w:val="00891ED7"/>
    <w:rsid w:val="008B7B54"/>
    <w:rsid w:val="008C3187"/>
    <w:rsid w:val="008C5B28"/>
    <w:rsid w:val="008C5E4F"/>
    <w:rsid w:val="008D63B7"/>
    <w:rsid w:val="008D6A03"/>
    <w:rsid w:val="008D6CA7"/>
    <w:rsid w:val="008E508C"/>
    <w:rsid w:val="008E7FEE"/>
    <w:rsid w:val="008F1E73"/>
    <w:rsid w:val="008F2F06"/>
    <w:rsid w:val="008F31F5"/>
    <w:rsid w:val="008F67F5"/>
    <w:rsid w:val="008F6AA9"/>
    <w:rsid w:val="008F6BCE"/>
    <w:rsid w:val="00900D4B"/>
    <w:rsid w:val="00902F24"/>
    <w:rsid w:val="00903440"/>
    <w:rsid w:val="00905F9B"/>
    <w:rsid w:val="00912B02"/>
    <w:rsid w:val="00913767"/>
    <w:rsid w:val="00913E95"/>
    <w:rsid w:val="00915019"/>
    <w:rsid w:val="009170B9"/>
    <w:rsid w:val="00922A53"/>
    <w:rsid w:val="00923A87"/>
    <w:rsid w:val="00927482"/>
    <w:rsid w:val="009307AC"/>
    <w:rsid w:val="00936FF5"/>
    <w:rsid w:val="00940D8F"/>
    <w:rsid w:val="00941AA2"/>
    <w:rsid w:val="0094654B"/>
    <w:rsid w:val="0094765A"/>
    <w:rsid w:val="0095112B"/>
    <w:rsid w:val="0095712A"/>
    <w:rsid w:val="00973A6D"/>
    <w:rsid w:val="009804E0"/>
    <w:rsid w:val="00983735"/>
    <w:rsid w:val="00985C80"/>
    <w:rsid w:val="009865AA"/>
    <w:rsid w:val="00987080"/>
    <w:rsid w:val="0098765A"/>
    <w:rsid w:val="00987E5B"/>
    <w:rsid w:val="009908AC"/>
    <w:rsid w:val="00991620"/>
    <w:rsid w:val="009968B0"/>
    <w:rsid w:val="009A6CB2"/>
    <w:rsid w:val="009B0982"/>
    <w:rsid w:val="009B13DB"/>
    <w:rsid w:val="009B4C99"/>
    <w:rsid w:val="009C11AE"/>
    <w:rsid w:val="009C13FB"/>
    <w:rsid w:val="009D28CF"/>
    <w:rsid w:val="009E10BE"/>
    <w:rsid w:val="009E5D36"/>
    <w:rsid w:val="009E6375"/>
    <w:rsid w:val="009E7CA0"/>
    <w:rsid w:val="009F1946"/>
    <w:rsid w:val="009F4484"/>
    <w:rsid w:val="00A04392"/>
    <w:rsid w:val="00A04860"/>
    <w:rsid w:val="00A069CE"/>
    <w:rsid w:val="00A109D8"/>
    <w:rsid w:val="00A16003"/>
    <w:rsid w:val="00A167D7"/>
    <w:rsid w:val="00A23D39"/>
    <w:rsid w:val="00A23EC2"/>
    <w:rsid w:val="00A24FBB"/>
    <w:rsid w:val="00A27021"/>
    <w:rsid w:val="00A3453E"/>
    <w:rsid w:val="00A42ED2"/>
    <w:rsid w:val="00A44B33"/>
    <w:rsid w:val="00A45CC4"/>
    <w:rsid w:val="00A465F7"/>
    <w:rsid w:val="00A47CA9"/>
    <w:rsid w:val="00A50E00"/>
    <w:rsid w:val="00A52529"/>
    <w:rsid w:val="00A53624"/>
    <w:rsid w:val="00A545EB"/>
    <w:rsid w:val="00A55EAF"/>
    <w:rsid w:val="00A5766B"/>
    <w:rsid w:val="00A6341F"/>
    <w:rsid w:val="00A6426B"/>
    <w:rsid w:val="00A65FAB"/>
    <w:rsid w:val="00A66632"/>
    <w:rsid w:val="00A73D07"/>
    <w:rsid w:val="00A75F29"/>
    <w:rsid w:val="00A77512"/>
    <w:rsid w:val="00A863E3"/>
    <w:rsid w:val="00A94161"/>
    <w:rsid w:val="00A97BFB"/>
    <w:rsid w:val="00AA5E8C"/>
    <w:rsid w:val="00AA7469"/>
    <w:rsid w:val="00AB0BBC"/>
    <w:rsid w:val="00AB3A92"/>
    <w:rsid w:val="00AB3F61"/>
    <w:rsid w:val="00AB478B"/>
    <w:rsid w:val="00AB47AC"/>
    <w:rsid w:val="00AB4AD9"/>
    <w:rsid w:val="00AB4E51"/>
    <w:rsid w:val="00AB7701"/>
    <w:rsid w:val="00AD1823"/>
    <w:rsid w:val="00AD1C86"/>
    <w:rsid w:val="00AD6E77"/>
    <w:rsid w:val="00AD7A25"/>
    <w:rsid w:val="00AE2666"/>
    <w:rsid w:val="00AE478C"/>
    <w:rsid w:val="00AE751C"/>
    <w:rsid w:val="00AF0992"/>
    <w:rsid w:val="00AF3A5A"/>
    <w:rsid w:val="00AF3E15"/>
    <w:rsid w:val="00AF510B"/>
    <w:rsid w:val="00AF5218"/>
    <w:rsid w:val="00AF60A0"/>
    <w:rsid w:val="00B01A6F"/>
    <w:rsid w:val="00B0480E"/>
    <w:rsid w:val="00B1026A"/>
    <w:rsid w:val="00B21166"/>
    <w:rsid w:val="00B263AE"/>
    <w:rsid w:val="00B31F44"/>
    <w:rsid w:val="00B33A6C"/>
    <w:rsid w:val="00B36C8E"/>
    <w:rsid w:val="00B419BF"/>
    <w:rsid w:val="00B42F17"/>
    <w:rsid w:val="00B43A02"/>
    <w:rsid w:val="00B47091"/>
    <w:rsid w:val="00B56534"/>
    <w:rsid w:val="00B57A21"/>
    <w:rsid w:val="00B62C3E"/>
    <w:rsid w:val="00B645DE"/>
    <w:rsid w:val="00B65857"/>
    <w:rsid w:val="00B66698"/>
    <w:rsid w:val="00B67566"/>
    <w:rsid w:val="00B745DC"/>
    <w:rsid w:val="00B84350"/>
    <w:rsid w:val="00B855A6"/>
    <w:rsid w:val="00B91098"/>
    <w:rsid w:val="00B91904"/>
    <w:rsid w:val="00B92735"/>
    <w:rsid w:val="00B969ED"/>
    <w:rsid w:val="00B97DB2"/>
    <w:rsid w:val="00BA77F1"/>
    <w:rsid w:val="00BA7BB6"/>
    <w:rsid w:val="00BB0D90"/>
    <w:rsid w:val="00BB60C6"/>
    <w:rsid w:val="00BB7984"/>
    <w:rsid w:val="00BB7E05"/>
    <w:rsid w:val="00BC04FF"/>
    <w:rsid w:val="00BC2B32"/>
    <w:rsid w:val="00BC45F7"/>
    <w:rsid w:val="00BC6A06"/>
    <w:rsid w:val="00BD137C"/>
    <w:rsid w:val="00BD3187"/>
    <w:rsid w:val="00BE3BC7"/>
    <w:rsid w:val="00BE761A"/>
    <w:rsid w:val="00BE7911"/>
    <w:rsid w:val="00BF1AB7"/>
    <w:rsid w:val="00BF2033"/>
    <w:rsid w:val="00BF26EE"/>
    <w:rsid w:val="00BF7FE9"/>
    <w:rsid w:val="00C03596"/>
    <w:rsid w:val="00C05EEC"/>
    <w:rsid w:val="00C15A13"/>
    <w:rsid w:val="00C2376C"/>
    <w:rsid w:val="00C238D9"/>
    <w:rsid w:val="00C24A9D"/>
    <w:rsid w:val="00C2629A"/>
    <w:rsid w:val="00C2677E"/>
    <w:rsid w:val="00C31542"/>
    <w:rsid w:val="00C35706"/>
    <w:rsid w:val="00C359D8"/>
    <w:rsid w:val="00C37CBB"/>
    <w:rsid w:val="00C45B12"/>
    <w:rsid w:val="00C5028E"/>
    <w:rsid w:val="00C54E78"/>
    <w:rsid w:val="00C57811"/>
    <w:rsid w:val="00C6078D"/>
    <w:rsid w:val="00C657CF"/>
    <w:rsid w:val="00C80D62"/>
    <w:rsid w:val="00C81A92"/>
    <w:rsid w:val="00C8388B"/>
    <w:rsid w:val="00C84944"/>
    <w:rsid w:val="00C90217"/>
    <w:rsid w:val="00C96BFD"/>
    <w:rsid w:val="00C96C98"/>
    <w:rsid w:val="00CA0261"/>
    <w:rsid w:val="00CA5358"/>
    <w:rsid w:val="00CB0B17"/>
    <w:rsid w:val="00CB1DCA"/>
    <w:rsid w:val="00CB6786"/>
    <w:rsid w:val="00CC4DAF"/>
    <w:rsid w:val="00CD05A7"/>
    <w:rsid w:val="00CD502A"/>
    <w:rsid w:val="00CE2B28"/>
    <w:rsid w:val="00CF12CF"/>
    <w:rsid w:val="00CF26D5"/>
    <w:rsid w:val="00CF48BF"/>
    <w:rsid w:val="00CF4BD0"/>
    <w:rsid w:val="00CF4BE3"/>
    <w:rsid w:val="00D060D2"/>
    <w:rsid w:val="00D064AB"/>
    <w:rsid w:val="00D07B72"/>
    <w:rsid w:val="00D111C1"/>
    <w:rsid w:val="00D13E2D"/>
    <w:rsid w:val="00D14394"/>
    <w:rsid w:val="00D242CD"/>
    <w:rsid w:val="00D26F74"/>
    <w:rsid w:val="00D27B2C"/>
    <w:rsid w:val="00D341C3"/>
    <w:rsid w:val="00D42843"/>
    <w:rsid w:val="00D46684"/>
    <w:rsid w:val="00D5152A"/>
    <w:rsid w:val="00D560EB"/>
    <w:rsid w:val="00D65145"/>
    <w:rsid w:val="00D70300"/>
    <w:rsid w:val="00D72012"/>
    <w:rsid w:val="00D73D87"/>
    <w:rsid w:val="00D74314"/>
    <w:rsid w:val="00D81410"/>
    <w:rsid w:val="00D91845"/>
    <w:rsid w:val="00D92505"/>
    <w:rsid w:val="00DA267C"/>
    <w:rsid w:val="00DA27B3"/>
    <w:rsid w:val="00DA3344"/>
    <w:rsid w:val="00DA5101"/>
    <w:rsid w:val="00DA79EF"/>
    <w:rsid w:val="00DB0C0B"/>
    <w:rsid w:val="00DB0C7F"/>
    <w:rsid w:val="00DB305D"/>
    <w:rsid w:val="00DB3B74"/>
    <w:rsid w:val="00DC144A"/>
    <w:rsid w:val="00DC2EDC"/>
    <w:rsid w:val="00DC5870"/>
    <w:rsid w:val="00DD0384"/>
    <w:rsid w:val="00DD04AA"/>
    <w:rsid w:val="00DD0901"/>
    <w:rsid w:val="00DD4AB0"/>
    <w:rsid w:val="00DE16B6"/>
    <w:rsid w:val="00DE3323"/>
    <w:rsid w:val="00DE36CA"/>
    <w:rsid w:val="00DE7E63"/>
    <w:rsid w:val="00DF23A9"/>
    <w:rsid w:val="00DF316C"/>
    <w:rsid w:val="00DF77A2"/>
    <w:rsid w:val="00E05F9B"/>
    <w:rsid w:val="00E0608F"/>
    <w:rsid w:val="00E07288"/>
    <w:rsid w:val="00E24D54"/>
    <w:rsid w:val="00E367C5"/>
    <w:rsid w:val="00E37E71"/>
    <w:rsid w:val="00E42486"/>
    <w:rsid w:val="00E42847"/>
    <w:rsid w:val="00E44BAA"/>
    <w:rsid w:val="00E46064"/>
    <w:rsid w:val="00E57AD3"/>
    <w:rsid w:val="00E604A1"/>
    <w:rsid w:val="00E619A4"/>
    <w:rsid w:val="00E628B9"/>
    <w:rsid w:val="00E7293C"/>
    <w:rsid w:val="00E73AA8"/>
    <w:rsid w:val="00E73B2E"/>
    <w:rsid w:val="00E76812"/>
    <w:rsid w:val="00E80228"/>
    <w:rsid w:val="00E86D2A"/>
    <w:rsid w:val="00E8711A"/>
    <w:rsid w:val="00EA2ED4"/>
    <w:rsid w:val="00EA491A"/>
    <w:rsid w:val="00EB1583"/>
    <w:rsid w:val="00EB54A9"/>
    <w:rsid w:val="00EC23FB"/>
    <w:rsid w:val="00EC7017"/>
    <w:rsid w:val="00ED30E1"/>
    <w:rsid w:val="00ED42A9"/>
    <w:rsid w:val="00ED4356"/>
    <w:rsid w:val="00ED7681"/>
    <w:rsid w:val="00EE243C"/>
    <w:rsid w:val="00EF63C6"/>
    <w:rsid w:val="00F034FB"/>
    <w:rsid w:val="00F05606"/>
    <w:rsid w:val="00F105F5"/>
    <w:rsid w:val="00F1075A"/>
    <w:rsid w:val="00F14CFC"/>
    <w:rsid w:val="00F17A9E"/>
    <w:rsid w:val="00F22E82"/>
    <w:rsid w:val="00F2483A"/>
    <w:rsid w:val="00F31C3E"/>
    <w:rsid w:val="00F337BF"/>
    <w:rsid w:val="00F33D14"/>
    <w:rsid w:val="00F473B6"/>
    <w:rsid w:val="00F52E57"/>
    <w:rsid w:val="00F53E06"/>
    <w:rsid w:val="00F54188"/>
    <w:rsid w:val="00F54CC0"/>
    <w:rsid w:val="00F71E43"/>
    <w:rsid w:val="00F727A5"/>
    <w:rsid w:val="00F7759C"/>
    <w:rsid w:val="00F847A9"/>
    <w:rsid w:val="00FA5FE9"/>
    <w:rsid w:val="00FA67D2"/>
    <w:rsid w:val="00FB1990"/>
    <w:rsid w:val="00FB302F"/>
    <w:rsid w:val="00FB5A92"/>
    <w:rsid w:val="00FC1C69"/>
    <w:rsid w:val="00FC3739"/>
    <w:rsid w:val="00FC5AB3"/>
    <w:rsid w:val="00FE5AD9"/>
    <w:rsid w:val="00FE7A33"/>
    <w:rsid w:val="00FF3414"/>
    <w:rsid w:val="00FF44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072CA70"/>
  <w15:docId w15:val="{518FFDFD-75ED-4F2D-A189-10B631AD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semiHidden="1" w:uiPriority="0" w:unhideWhenUsed="1"/>
    <w:lsdException w:name="Balloon Text" w:semiHidden="1" w:unhideWhenUsed="1"/>
    <w:lsdException w:name="Table Grid" w:uiPriority="0"/>
    <w:lsdException w:name="Table Theme"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C35706"/>
    <w:pPr>
      <w:autoSpaceDE w:val="0"/>
      <w:autoSpaceDN w:val="0"/>
      <w:adjustRightInd w:val="0"/>
      <w:spacing w:before="0" w:after="0"/>
    </w:pPr>
    <w:rPr>
      <w:rFonts w:cs="Calibri"/>
      <w:color w:val="000000"/>
    </w:rPr>
  </w:style>
  <w:style w:type="paragraph" w:styleId="CommentText">
    <w:name w:val="annotation text"/>
    <w:basedOn w:val="Normal"/>
    <w:link w:val="CommentTextChar"/>
    <w:uiPriority w:val="99"/>
    <w:semiHidden/>
    <w:unhideWhenUsed/>
    <w:rsid w:val="00E05F9B"/>
    <w:rPr>
      <w:sz w:val="20"/>
      <w:szCs w:val="20"/>
    </w:rPr>
  </w:style>
  <w:style w:type="character" w:customStyle="1" w:styleId="CommentTextChar">
    <w:name w:val="Comment Text Char"/>
    <w:basedOn w:val="DefaultParagraphFont"/>
    <w:link w:val="CommentText"/>
    <w:uiPriority w:val="99"/>
    <w:semiHidden/>
    <w:rsid w:val="00E05F9B"/>
    <w:rPr>
      <w:sz w:val="20"/>
      <w:szCs w:val="20"/>
      <w:lang w:eastAsia="en-US"/>
    </w:rPr>
  </w:style>
  <w:style w:type="paragraph" w:styleId="CommentSubject">
    <w:name w:val="annotation subject"/>
    <w:basedOn w:val="CommentText"/>
    <w:next w:val="CommentText"/>
    <w:link w:val="CommentSubjectChar"/>
    <w:uiPriority w:val="99"/>
    <w:semiHidden/>
    <w:unhideWhenUsed/>
    <w:rsid w:val="00E05F9B"/>
    <w:rPr>
      <w:b/>
      <w:bCs/>
    </w:rPr>
  </w:style>
  <w:style w:type="character" w:customStyle="1" w:styleId="CommentSubjectChar">
    <w:name w:val="Comment Subject Char"/>
    <w:basedOn w:val="CommentTextChar"/>
    <w:link w:val="CommentSubject"/>
    <w:uiPriority w:val="99"/>
    <w:semiHidden/>
    <w:rsid w:val="00E05F9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4269">
      <w:bodyDiv w:val="1"/>
      <w:marLeft w:val="0"/>
      <w:marRight w:val="0"/>
      <w:marTop w:val="0"/>
      <w:marBottom w:val="0"/>
      <w:divBdr>
        <w:top w:val="none" w:sz="0" w:space="0" w:color="auto"/>
        <w:left w:val="none" w:sz="0" w:space="0" w:color="auto"/>
        <w:bottom w:val="none" w:sz="0" w:space="0" w:color="auto"/>
        <w:right w:val="none" w:sz="0" w:space="0" w:color="auto"/>
      </w:divBdr>
    </w:div>
    <w:div w:id="349916458">
      <w:bodyDiv w:val="1"/>
      <w:marLeft w:val="0"/>
      <w:marRight w:val="0"/>
      <w:marTop w:val="0"/>
      <w:marBottom w:val="0"/>
      <w:divBdr>
        <w:top w:val="none" w:sz="0" w:space="0" w:color="auto"/>
        <w:left w:val="none" w:sz="0" w:space="0" w:color="auto"/>
        <w:bottom w:val="none" w:sz="0" w:space="0" w:color="auto"/>
        <w:right w:val="none" w:sz="0" w:space="0" w:color="auto"/>
      </w:divBdr>
    </w:div>
    <w:div w:id="359287612">
      <w:bodyDiv w:val="1"/>
      <w:marLeft w:val="0"/>
      <w:marRight w:val="0"/>
      <w:marTop w:val="0"/>
      <w:marBottom w:val="0"/>
      <w:divBdr>
        <w:top w:val="none" w:sz="0" w:space="0" w:color="auto"/>
        <w:left w:val="none" w:sz="0" w:space="0" w:color="auto"/>
        <w:bottom w:val="none" w:sz="0" w:space="0" w:color="auto"/>
        <w:right w:val="none" w:sz="0" w:space="0" w:color="auto"/>
      </w:divBdr>
    </w:div>
    <w:div w:id="419717029">
      <w:bodyDiv w:val="1"/>
      <w:marLeft w:val="0"/>
      <w:marRight w:val="0"/>
      <w:marTop w:val="0"/>
      <w:marBottom w:val="0"/>
      <w:divBdr>
        <w:top w:val="none" w:sz="0" w:space="0" w:color="auto"/>
        <w:left w:val="none" w:sz="0" w:space="0" w:color="auto"/>
        <w:bottom w:val="none" w:sz="0" w:space="0" w:color="auto"/>
        <w:right w:val="none" w:sz="0" w:space="0" w:color="auto"/>
      </w:divBdr>
    </w:div>
    <w:div w:id="584416795">
      <w:bodyDiv w:val="1"/>
      <w:marLeft w:val="0"/>
      <w:marRight w:val="0"/>
      <w:marTop w:val="0"/>
      <w:marBottom w:val="0"/>
      <w:divBdr>
        <w:top w:val="none" w:sz="0" w:space="0" w:color="auto"/>
        <w:left w:val="none" w:sz="0" w:space="0" w:color="auto"/>
        <w:bottom w:val="none" w:sz="0" w:space="0" w:color="auto"/>
        <w:right w:val="none" w:sz="0" w:space="0" w:color="auto"/>
      </w:divBdr>
      <w:divsChild>
        <w:div w:id="631859925">
          <w:marLeft w:val="720"/>
          <w:marRight w:val="0"/>
          <w:marTop w:val="0"/>
          <w:marBottom w:val="0"/>
          <w:divBdr>
            <w:top w:val="none" w:sz="0" w:space="0" w:color="auto"/>
            <w:left w:val="none" w:sz="0" w:space="0" w:color="auto"/>
            <w:bottom w:val="none" w:sz="0" w:space="0" w:color="auto"/>
            <w:right w:val="none" w:sz="0" w:space="0" w:color="auto"/>
          </w:divBdr>
        </w:div>
      </w:divsChild>
    </w:div>
    <w:div w:id="696010315">
      <w:bodyDiv w:val="1"/>
      <w:marLeft w:val="0"/>
      <w:marRight w:val="0"/>
      <w:marTop w:val="0"/>
      <w:marBottom w:val="0"/>
      <w:divBdr>
        <w:top w:val="none" w:sz="0" w:space="0" w:color="auto"/>
        <w:left w:val="none" w:sz="0" w:space="0" w:color="auto"/>
        <w:bottom w:val="none" w:sz="0" w:space="0" w:color="auto"/>
        <w:right w:val="none" w:sz="0" w:space="0" w:color="auto"/>
      </w:divBdr>
    </w:div>
    <w:div w:id="710883002">
      <w:bodyDiv w:val="1"/>
      <w:marLeft w:val="0"/>
      <w:marRight w:val="0"/>
      <w:marTop w:val="0"/>
      <w:marBottom w:val="0"/>
      <w:divBdr>
        <w:top w:val="none" w:sz="0" w:space="0" w:color="auto"/>
        <w:left w:val="none" w:sz="0" w:space="0" w:color="auto"/>
        <w:bottom w:val="none" w:sz="0" w:space="0" w:color="auto"/>
        <w:right w:val="none" w:sz="0" w:space="0" w:color="auto"/>
      </w:divBdr>
      <w:divsChild>
        <w:div w:id="1607813967">
          <w:marLeft w:val="0"/>
          <w:marRight w:val="0"/>
          <w:marTop w:val="0"/>
          <w:marBottom w:val="0"/>
          <w:divBdr>
            <w:top w:val="none" w:sz="0" w:space="0" w:color="auto"/>
            <w:left w:val="none" w:sz="0" w:space="0" w:color="auto"/>
            <w:bottom w:val="none" w:sz="0" w:space="0" w:color="auto"/>
            <w:right w:val="none" w:sz="0" w:space="0" w:color="auto"/>
          </w:divBdr>
          <w:divsChild>
            <w:div w:id="861014783">
              <w:marLeft w:val="0"/>
              <w:marRight w:val="0"/>
              <w:marTop w:val="0"/>
              <w:marBottom w:val="0"/>
              <w:divBdr>
                <w:top w:val="none" w:sz="0" w:space="0" w:color="auto"/>
                <w:left w:val="none" w:sz="0" w:space="0" w:color="auto"/>
                <w:bottom w:val="none" w:sz="0" w:space="0" w:color="auto"/>
                <w:right w:val="none" w:sz="0" w:space="0" w:color="auto"/>
              </w:divBdr>
              <w:divsChild>
                <w:div w:id="360055829">
                  <w:marLeft w:val="0"/>
                  <w:marRight w:val="0"/>
                  <w:marTop w:val="0"/>
                  <w:marBottom w:val="0"/>
                  <w:divBdr>
                    <w:top w:val="single" w:sz="6" w:space="0" w:color="6B9060"/>
                    <w:left w:val="single" w:sz="6" w:space="0" w:color="6B9060"/>
                    <w:bottom w:val="single" w:sz="6" w:space="0" w:color="6B9060"/>
                    <w:right w:val="single" w:sz="6" w:space="0" w:color="6B9060"/>
                  </w:divBdr>
                  <w:divsChild>
                    <w:div w:id="25983142">
                      <w:marLeft w:val="300"/>
                      <w:marRight w:val="300"/>
                      <w:marTop w:val="0"/>
                      <w:marBottom w:val="0"/>
                      <w:divBdr>
                        <w:top w:val="none" w:sz="0" w:space="0" w:color="auto"/>
                        <w:left w:val="none" w:sz="0" w:space="0" w:color="auto"/>
                        <w:bottom w:val="none" w:sz="0" w:space="0" w:color="auto"/>
                        <w:right w:val="none" w:sz="0" w:space="0" w:color="auto"/>
                      </w:divBdr>
                      <w:divsChild>
                        <w:div w:id="17935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7839">
      <w:bodyDiv w:val="1"/>
      <w:marLeft w:val="0"/>
      <w:marRight w:val="0"/>
      <w:marTop w:val="0"/>
      <w:marBottom w:val="0"/>
      <w:divBdr>
        <w:top w:val="none" w:sz="0" w:space="0" w:color="auto"/>
        <w:left w:val="none" w:sz="0" w:space="0" w:color="auto"/>
        <w:bottom w:val="none" w:sz="0" w:space="0" w:color="auto"/>
        <w:right w:val="none" w:sz="0" w:space="0" w:color="auto"/>
      </w:divBdr>
    </w:div>
    <w:div w:id="1485706976">
      <w:bodyDiv w:val="1"/>
      <w:marLeft w:val="0"/>
      <w:marRight w:val="0"/>
      <w:marTop w:val="0"/>
      <w:marBottom w:val="0"/>
      <w:divBdr>
        <w:top w:val="none" w:sz="0" w:space="0" w:color="auto"/>
        <w:left w:val="none" w:sz="0" w:space="0" w:color="auto"/>
        <w:bottom w:val="none" w:sz="0" w:space="0" w:color="auto"/>
        <w:right w:val="none" w:sz="0" w:space="0" w:color="auto"/>
      </w:divBdr>
    </w:div>
    <w:div w:id="1655253667">
      <w:bodyDiv w:val="1"/>
      <w:marLeft w:val="0"/>
      <w:marRight w:val="0"/>
      <w:marTop w:val="0"/>
      <w:marBottom w:val="0"/>
      <w:divBdr>
        <w:top w:val="none" w:sz="0" w:space="0" w:color="auto"/>
        <w:left w:val="none" w:sz="0" w:space="0" w:color="auto"/>
        <w:bottom w:val="none" w:sz="0" w:space="0" w:color="auto"/>
        <w:right w:val="none" w:sz="0" w:space="0" w:color="auto"/>
      </w:divBdr>
    </w:div>
    <w:div w:id="1696347385">
      <w:bodyDiv w:val="1"/>
      <w:marLeft w:val="0"/>
      <w:marRight w:val="0"/>
      <w:marTop w:val="0"/>
      <w:marBottom w:val="0"/>
      <w:divBdr>
        <w:top w:val="none" w:sz="0" w:space="0" w:color="auto"/>
        <w:left w:val="none" w:sz="0" w:space="0" w:color="auto"/>
        <w:bottom w:val="none" w:sz="0" w:space="0" w:color="auto"/>
        <w:right w:val="none" w:sz="0" w:space="0" w:color="auto"/>
      </w:divBdr>
    </w:div>
    <w:div w:id="20033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530DE.11DFF2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DFE2-CE98-4AF4-8DB3-9C6A7AB1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Pervan</dc:creator>
  <cp:lastModifiedBy>Blair McLaren</cp:lastModifiedBy>
  <cp:revision>4</cp:revision>
  <cp:lastPrinted>2020-05-05T01:36:00Z</cp:lastPrinted>
  <dcterms:created xsi:type="dcterms:W3CDTF">2020-05-05T01:35:00Z</dcterms:created>
  <dcterms:modified xsi:type="dcterms:W3CDTF">2020-05-05T01:36:00Z</dcterms:modified>
</cp:coreProperties>
</file>