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03A18" w14:textId="77777777" w:rsidR="002108BC" w:rsidRDefault="002108BC" w:rsidP="00592D4D">
      <w:pPr>
        <w:pStyle w:val="Title"/>
      </w:pPr>
      <w:r>
        <w:rPr>
          <w:rFonts w:cs="Times New Roman"/>
          <w:b w:val="0"/>
          <w:bCs w:val="0"/>
          <w:noProof/>
          <w:kern w:val="0"/>
          <w:sz w:val="22"/>
          <w:szCs w:val="24"/>
        </w:rPr>
        <w:drawing>
          <wp:inline distT="0" distB="0" distL="0" distR="0" wp14:anchorId="08B62FB0" wp14:editId="70621EC3">
            <wp:extent cx="2307621" cy="523875"/>
            <wp:effectExtent l="0" t="0" r="0" b="0"/>
            <wp:docPr id="1" name="Picture 1" descr="\\wlgprdfile02\home$\youngry\home\Desktop\RGB_AIC_GREE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gprdfile02\home$\youngry\home\Desktop\RGB_AIC_GREEN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8871" cy="526429"/>
                    </a:xfrm>
                    <a:prstGeom prst="rect">
                      <a:avLst/>
                    </a:prstGeom>
                    <a:noFill/>
                    <a:ln>
                      <a:noFill/>
                    </a:ln>
                  </pic:spPr>
                </pic:pic>
              </a:graphicData>
            </a:graphic>
          </wp:inline>
        </w:drawing>
      </w:r>
    </w:p>
    <w:p w14:paraId="245F0562" w14:textId="7F430CD5" w:rsidR="00592D4D" w:rsidRDefault="4911599D" w:rsidP="00592D4D">
      <w:pPr>
        <w:pStyle w:val="Title"/>
      </w:pPr>
      <w:r>
        <w:t>Accessibility Action Plan</w:t>
      </w:r>
    </w:p>
    <w:p w14:paraId="702B046C" w14:textId="3182CB35" w:rsidR="4911599D" w:rsidRPr="00D55390" w:rsidRDefault="00D87CCC" w:rsidP="00D55390">
      <w:pPr>
        <w:jc w:val="center"/>
        <w:rPr>
          <w:sz w:val="44"/>
          <w:szCs w:val="48"/>
        </w:rPr>
      </w:pPr>
      <w:r>
        <w:rPr>
          <w:sz w:val="44"/>
          <w:szCs w:val="48"/>
        </w:rPr>
        <w:t>2021</w:t>
      </w:r>
      <w:r w:rsidR="4911599D" w:rsidRPr="00D55390">
        <w:rPr>
          <w:sz w:val="44"/>
          <w:szCs w:val="48"/>
        </w:rPr>
        <w:t>-</w:t>
      </w:r>
      <w:r>
        <w:rPr>
          <w:sz w:val="44"/>
          <w:szCs w:val="48"/>
        </w:rPr>
        <w:t>2022</w:t>
      </w:r>
    </w:p>
    <w:p w14:paraId="672A6659" w14:textId="77777777" w:rsidR="00151FC4" w:rsidRDefault="00151FC4" w:rsidP="00592D4D">
      <w:pPr>
        <w:pStyle w:val="Subtitle"/>
        <w:sectPr w:rsidR="00151FC4" w:rsidSect="00061AD3">
          <w:headerReference w:type="even" r:id="rId12"/>
          <w:headerReference w:type="default" r:id="rId13"/>
          <w:footerReference w:type="even" r:id="rId14"/>
          <w:footerReference w:type="default" r:id="rId15"/>
          <w:headerReference w:type="first" r:id="rId16"/>
          <w:footerReference w:type="first" r:id="rId17"/>
          <w:pgSz w:w="11906" w:h="16838" w:code="9"/>
          <w:pgMar w:top="284" w:right="567" w:bottom="567" w:left="567" w:header="284" w:footer="284" w:gutter="0"/>
          <w:cols w:space="708"/>
          <w:titlePg/>
          <w:docGrid w:linePitch="360"/>
        </w:sectPr>
      </w:pPr>
    </w:p>
    <w:p w14:paraId="406425CA" w14:textId="77777777" w:rsidR="000F3DC7" w:rsidRPr="00C1771B" w:rsidRDefault="00B51863" w:rsidP="00B51863">
      <w:pPr>
        <w:pStyle w:val="TOCHeading"/>
      </w:pPr>
      <w:r>
        <w:lastRenderedPageBreak/>
        <w:tab/>
      </w:r>
      <w:r w:rsidR="000F3DC7" w:rsidRPr="00C1771B">
        <w:t>Contents</w:t>
      </w:r>
    </w:p>
    <w:p w14:paraId="11E2449F" w14:textId="77777777" w:rsidR="00764B74" w:rsidRDefault="00E02281">
      <w:pPr>
        <w:pStyle w:val="TOC1"/>
        <w:rPr>
          <w:rFonts w:asciiTheme="minorHAnsi" w:eastAsiaTheme="minorEastAsia" w:hAnsiTheme="minorHAnsi" w:cstheme="minorBidi"/>
          <w:b w:val="0"/>
          <w:caps w:val="0"/>
          <w:sz w:val="22"/>
          <w:szCs w:val="22"/>
        </w:rPr>
      </w:pPr>
      <w:r>
        <w:fldChar w:fldCharType="begin"/>
      </w:r>
      <w:r>
        <w:instrText xml:space="preserve"> TOC \h \z \t "Heading 1,1" </w:instrText>
      </w:r>
      <w:r>
        <w:fldChar w:fldCharType="separate"/>
      </w:r>
      <w:hyperlink w:anchor="_Toc466293214" w:history="1">
        <w:r w:rsidR="00764B74" w:rsidRPr="00BE20AA">
          <w:rPr>
            <w:rStyle w:val="Hyperlink"/>
          </w:rPr>
          <w:t>our action plan</w:t>
        </w:r>
        <w:r w:rsidR="00764B74">
          <w:rPr>
            <w:webHidden/>
          </w:rPr>
          <w:tab/>
        </w:r>
        <w:r w:rsidR="00764B74">
          <w:rPr>
            <w:webHidden/>
          </w:rPr>
          <w:fldChar w:fldCharType="begin"/>
        </w:r>
        <w:r w:rsidR="00764B74">
          <w:rPr>
            <w:webHidden/>
          </w:rPr>
          <w:instrText xml:space="preserve"> PAGEREF _Toc466293214 \h </w:instrText>
        </w:r>
        <w:r w:rsidR="00764B74">
          <w:rPr>
            <w:webHidden/>
          </w:rPr>
        </w:r>
        <w:r w:rsidR="00764B74">
          <w:rPr>
            <w:webHidden/>
          </w:rPr>
          <w:fldChar w:fldCharType="separate"/>
        </w:r>
        <w:r w:rsidR="004D3D54">
          <w:rPr>
            <w:webHidden/>
          </w:rPr>
          <w:t>3</w:t>
        </w:r>
        <w:r w:rsidR="00764B74">
          <w:rPr>
            <w:webHidden/>
          </w:rPr>
          <w:fldChar w:fldCharType="end"/>
        </w:r>
      </w:hyperlink>
    </w:p>
    <w:p w14:paraId="23DBEB58" w14:textId="0502ADD9" w:rsidR="00764B74" w:rsidRDefault="00000000">
      <w:pPr>
        <w:pStyle w:val="TOC1"/>
        <w:rPr>
          <w:rFonts w:asciiTheme="minorHAnsi" w:eastAsiaTheme="minorEastAsia" w:hAnsiTheme="minorHAnsi" w:cstheme="minorBidi"/>
          <w:b w:val="0"/>
          <w:caps w:val="0"/>
          <w:sz w:val="22"/>
          <w:szCs w:val="22"/>
        </w:rPr>
      </w:pPr>
      <w:hyperlink w:anchor="_Toc466293215" w:history="1">
        <w:r w:rsidR="00764B74" w:rsidRPr="00BE20AA">
          <w:rPr>
            <w:rStyle w:val="Hyperlink"/>
          </w:rPr>
          <w:t xml:space="preserve">our </w:t>
        </w:r>
        <w:r w:rsidR="006042CD">
          <w:rPr>
            <w:rStyle w:val="Hyperlink"/>
          </w:rPr>
          <w:t>survivors</w:t>
        </w:r>
        <w:r w:rsidR="00764B74">
          <w:rPr>
            <w:webHidden/>
          </w:rPr>
          <w:tab/>
        </w:r>
        <w:r w:rsidR="00764B74">
          <w:rPr>
            <w:webHidden/>
          </w:rPr>
          <w:fldChar w:fldCharType="begin"/>
        </w:r>
        <w:r w:rsidR="00764B74">
          <w:rPr>
            <w:webHidden/>
          </w:rPr>
          <w:instrText xml:space="preserve"> PAGEREF _Toc466293215 \h </w:instrText>
        </w:r>
        <w:r w:rsidR="00764B74">
          <w:rPr>
            <w:webHidden/>
          </w:rPr>
        </w:r>
        <w:r w:rsidR="00764B74">
          <w:rPr>
            <w:webHidden/>
          </w:rPr>
          <w:fldChar w:fldCharType="separate"/>
        </w:r>
        <w:r w:rsidR="004D3D54">
          <w:rPr>
            <w:webHidden/>
          </w:rPr>
          <w:t>4</w:t>
        </w:r>
        <w:r w:rsidR="00764B74">
          <w:rPr>
            <w:webHidden/>
          </w:rPr>
          <w:fldChar w:fldCharType="end"/>
        </w:r>
      </w:hyperlink>
    </w:p>
    <w:p w14:paraId="5E77B871" w14:textId="77777777" w:rsidR="00764B74" w:rsidRDefault="00000000">
      <w:pPr>
        <w:pStyle w:val="TOC1"/>
        <w:rPr>
          <w:rFonts w:asciiTheme="minorHAnsi" w:eastAsiaTheme="minorEastAsia" w:hAnsiTheme="minorHAnsi" w:cstheme="minorBidi"/>
          <w:b w:val="0"/>
          <w:caps w:val="0"/>
          <w:sz w:val="22"/>
          <w:szCs w:val="22"/>
        </w:rPr>
      </w:pPr>
      <w:hyperlink w:anchor="_Toc466293216" w:history="1">
        <w:r w:rsidR="00764B74" w:rsidRPr="00BE20AA">
          <w:rPr>
            <w:rStyle w:val="Hyperlink"/>
          </w:rPr>
          <w:t>our people</w:t>
        </w:r>
        <w:r w:rsidR="00764B74">
          <w:rPr>
            <w:webHidden/>
          </w:rPr>
          <w:tab/>
        </w:r>
        <w:r w:rsidR="00764B74">
          <w:rPr>
            <w:webHidden/>
          </w:rPr>
          <w:fldChar w:fldCharType="begin"/>
        </w:r>
        <w:r w:rsidR="00764B74">
          <w:rPr>
            <w:webHidden/>
          </w:rPr>
          <w:instrText xml:space="preserve"> PAGEREF _Toc466293216 \h </w:instrText>
        </w:r>
        <w:r w:rsidR="00764B74">
          <w:rPr>
            <w:webHidden/>
          </w:rPr>
        </w:r>
        <w:r w:rsidR="00764B74">
          <w:rPr>
            <w:webHidden/>
          </w:rPr>
          <w:fldChar w:fldCharType="separate"/>
        </w:r>
        <w:r w:rsidR="004D3D54">
          <w:rPr>
            <w:webHidden/>
          </w:rPr>
          <w:t>5</w:t>
        </w:r>
        <w:r w:rsidR="00764B74">
          <w:rPr>
            <w:webHidden/>
          </w:rPr>
          <w:fldChar w:fldCharType="end"/>
        </w:r>
      </w:hyperlink>
    </w:p>
    <w:p w14:paraId="435B1FD6" w14:textId="77777777" w:rsidR="00764B74" w:rsidRDefault="00000000">
      <w:pPr>
        <w:pStyle w:val="TOC1"/>
        <w:rPr>
          <w:rFonts w:asciiTheme="minorHAnsi" w:eastAsiaTheme="minorEastAsia" w:hAnsiTheme="minorHAnsi" w:cstheme="minorBidi"/>
          <w:b w:val="0"/>
          <w:caps w:val="0"/>
          <w:sz w:val="22"/>
          <w:szCs w:val="22"/>
        </w:rPr>
      </w:pPr>
      <w:hyperlink w:anchor="_Toc466293218" w:history="1">
        <w:r w:rsidR="00764B74" w:rsidRPr="00BE20AA">
          <w:rPr>
            <w:rStyle w:val="Hyperlink"/>
          </w:rPr>
          <w:t>feedback</w:t>
        </w:r>
        <w:r w:rsidR="00764B74">
          <w:rPr>
            <w:webHidden/>
          </w:rPr>
          <w:tab/>
        </w:r>
        <w:r w:rsidR="00764B74">
          <w:rPr>
            <w:webHidden/>
          </w:rPr>
          <w:fldChar w:fldCharType="begin"/>
        </w:r>
        <w:r w:rsidR="00764B74">
          <w:rPr>
            <w:webHidden/>
          </w:rPr>
          <w:instrText xml:space="preserve"> PAGEREF _Toc466293218 \h </w:instrText>
        </w:r>
        <w:r w:rsidR="00764B74">
          <w:rPr>
            <w:webHidden/>
          </w:rPr>
        </w:r>
        <w:r w:rsidR="00764B74">
          <w:rPr>
            <w:webHidden/>
          </w:rPr>
          <w:fldChar w:fldCharType="separate"/>
        </w:r>
        <w:r w:rsidR="004D3D54">
          <w:rPr>
            <w:webHidden/>
          </w:rPr>
          <w:t>7</w:t>
        </w:r>
        <w:r w:rsidR="00764B74">
          <w:rPr>
            <w:webHidden/>
          </w:rPr>
          <w:fldChar w:fldCharType="end"/>
        </w:r>
      </w:hyperlink>
    </w:p>
    <w:p w14:paraId="0A37501D" w14:textId="77777777" w:rsidR="002F3E1C" w:rsidRDefault="00E02281" w:rsidP="00DE461B">
      <w:pPr>
        <w:pBdr>
          <w:between w:val="single" w:sz="8" w:space="1" w:color="auto"/>
        </w:pBdr>
        <w:rPr>
          <w:noProof/>
        </w:rPr>
      </w:pPr>
      <w:r>
        <w:rPr>
          <w:rFonts w:ascii="Arial Bold" w:hAnsi="Arial Bold"/>
          <w:b/>
          <w:caps/>
          <w:noProof/>
          <w:sz w:val="24"/>
        </w:rPr>
        <w:fldChar w:fldCharType="end"/>
      </w:r>
      <w:r w:rsidR="002F3E1C">
        <w:rPr>
          <w:noProof/>
        </w:rPr>
        <w:br w:type="page"/>
      </w:r>
    </w:p>
    <w:p w14:paraId="661C653E" w14:textId="44ECB2AD" w:rsidR="002F3E1C" w:rsidRPr="00B51863" w:rsidRDefault="00D55390" w:rsidP="00B51863">
      <w:pPr>
        <w:pStyle w:val="Heading1"/>
      </w:pPr>
      <w:bookmarkStart w:id="0" w:name="_Toc466293214"/>
      <w:r w:rsidRPr="00B51863">
        <w:rPr>
          <w:caps w:val="0"/>
        </w:rPr>
        <w:lastRenderedPageBreak/>
        <w:tab/>
        <w:t>Our Action Plan</w:t>
      </w:r>
      <w:bookmarkEnd w:id="0"/>
    </w:p>
    <w:p w14:paraId="0D50A285" w14:textId="0B3E5AFF" w:rsidR="008D1C2B" w:rsidRDefault="008D1C2B" w:rsidP="008D1C2B">
      <w:pPr>
        <w:pStyle w:val="Heading2"/>
      </w:pPr>
      <w:r>
        <w:t>A note from our Executive Director</w:t>
      </w:r>
    </w:p>
    <w:p w14:paraId="3B0A183D" w14:textId="77777777" w:rsidR="008D1C2B" w:rsidRDefault="008D1C2B" w:rsidP="00D87CCC">
      <w:pPr>
        <w:pStyle w:val="Heading2"/>
        <w:rPr>
          <w:b w:val="0"/>
          <w:color w:val="auto"/>
          <w:sz w:val="22"/>
          <w:szCs w:val="24"/>
        </w:rPr>
      </w:pPr>
    </w:p>
    <w:p w14:paraId="5EED73E4" w14:textId="6823A8A8" w:rsidR="00D87CCC" w:rsidRPr="00D87CCC" w:rsidRDefault="00D87CCC" w:rsidP="00D87CCC">
      <w:pPr>
        <w:pStyle w:val="Heading2"/>
        <w:rPr>
          <w:b w:val="0"/>
          <w:color w:val="auto"/>
          <w:sz w:val="22"/>
          <w:szCs w:val="24"/>
        </w:rPr>
      </w:pPr>
      <w:r w:rsidRPr="00D87CCC">
        <w:rPr>
          <w:b w:val="0"/>
          <w:color w:val="auto"/>
          <w:sz w:val="22"/>
          <w:szCs w:val="24"/>
        </w:rPr>
        <w:t>Here at the Commission, we believe that a diverse and inclusive workplace brings out the best in our people and it is a key factor in our mahi. With approximately one in four New Zealanders affected by a physical, sensory, learning, mental health or other impairment, we understand disability touches all aspects of our organisation – our people, survivors and the community in which we operate.</w:t>
      </w:r>
    </w:p>
    <w:p w14:paraId="5683EA03" w14:textId="77777777" w:rsidR="00D87CCC" w:rsidRPr="00D87CCC" w:rsidRDefault="00D87CCC" w:rsidP="00D87CCC">
      <w:pPr>
        <w:pStyle w:val="Heading2"/>
        <w:rPr>
          <w:b w:val="0"/>
          <w:color w:val="auto"/>
          <w:sz w:val="22"/>
          <w:szCs w:val="24"/>
        </w:rPr>
      </w:pPr>
    </w:p>
    <w:p w14:paraId="1DB55C6B" w14:textId="77777777" w:rsidR="00D87CCC" w:rsidRPr="00D87CCC" w:rsidRDefault="00D87CCC" w:rsidP="00D87CCC">
      <w:pPr>
        <w:pStyle w:val="Heading2"/>
        <w:rPr>
          <w:b w:val="0"/>
          <w:color w:val="auto"/>
          <w:sz w:val="22"/>
          <w:szCs w:val="24"/>
        </w:rPr>
      </w:pPr>
      <w:r w:rsidRPr="00D87CCC">
        <w:rPr>
          <w:b w:val="0"/>
          <w:color w:val="auto"/>
          <w:sz w:val="22"/>
          <w:szCs w:val="24"/>
        </w:rPr>
        <w:t xml:space="preserve">We know many people find it harder to participate productively in workplaces because they are not accessible. Making our workplace and our technologies accessible will be to the benefit of everyone. Adopting accessible strategies and technologies allows the flexibility to boost employee retention, meet regulatory needs, drive higher levels of productivity and ensure that communications content can be used by all. </w:t>
      </w:r>
    </w:p>
    <w:p w14:paraId="51A73ADA" w14:textId="77777777" w:rsidR="00D87CCC" w:rsidRPr="00D87CCC" w:rsidRDefault="00D87CCC" w:rsidP="00D87CCC">
      <w:pPr>
        <w:pStyle w:val="Heading2"/>
        <w:rPr>
          <w:b w:val="0"/>
          <w:color w:val="auto"/>
          <w:sz w:val="22"/>
          <w:szCs w:val="24"/>
        </w:rPr>
      </w:pPr>
    </w:p>
    <w:p w14:paraId="1789B010" w14:textId="77777777" w:rsidR="00D87CCC" w:rsidRPr="00D87CCC" w:rsidRDefault="00D87CCC" w:rsidP="00D87CCC">
      <w:pPr>
        <w:pStyle w:val="Heading2"/>
        <w:rPr>
          <w:b w:val="0"/>
          <w:color w:val="auto"/>
          <w:sz w:val="22"/>
          <w:szCs w:val="24"/>
        </w:rPr>
      </w:pPr>
      <w:r w:rsidRPr="00D87CCC">
        <w:rPr>
          <w:b w:val="0"/>
          <w:color w:val="auto"/>
          <w:sz w:val="22"/>
          <w:szCs w:val="24"/>
        </w:rPr>
        <w:t>This means as an organisation we need to continually adapt and evolve to provide secure, accessible products and services that are relevant to how people live and work in both the physical and digital worlds.</w:t>
      </w:r>
    </w:p>
    <w:p w14:paraId="18341AC0" w14:textId="77777777" w:rsidR="00D87CCC" w:rsidRPr="00D87CCC" w:rsidRDefault="00D87CCC" w:rsidP="00D87CCC">
      <w:pPr>
        <w:pStyle w:val="Heading2"/>
        <w:rPr>
          <w:b w:val="0"/>
          <w:color w:val="auto"/>
          <w:sz w:val="22"/>
          <w:szCs w:val="24"/>
        </w:rPr>
      </w:pPr>
    </w:p>
    <w:p w14:paraId="21F2EF6D" w14:textId="12879EF8" w:rsidR="00D87CCC" w:rsidRPr="00D87CCC" w:rsidRDefault="00D87CCC" w:rsidP="2B38482F">
      <w:pPr>
        <w:pStyle w:val="Heading2"/>
        <w:rPr>
          <w:b w:val="0"/>
          <w:color w:val="auto"/>
          <w:sz w:val="22"/>
          <w:szCs w:val="22"/>
          <w:highlight w:val="yellow"/>
        </w:rPr>
      </w:pPr>
      <w:r w:rsidRPr="3C6BC0A1">
        <w:rPr>
          <w:b w:val="0"/>
          <w:color w:val="auto"/>
          <w:sz w:val="22"/>
          <w:szCs w:val="22"/>
        </w:rPr>
        <w:t xml:space="preserve">I am delighted to announce the Commission is working to improve our own accessibility and inclusion for everyone. We are committed to </w:t>
      </w:r>
      <w:r w:rsidR="00BA00FE" w:rsidRPr="3C6BC0A1">
        <w:rPr>
          <w:b w:val="0"/>
          <w:color w:val="auto"/>
          <w:sz w:val="22"/>
          <w:szCs w:val="22"/>
        </w:rPr>
        <w:t>ensuring all of the Commission’s mahi has</w:t>
      </w:r>
      <w:r w:rsidRPr="3C6BC0A1">
        <w:rPr>
          <w:b w:val="0"/>
          <w:color w:val="auto"/>
          <w:sz w:val="22"/>
          <w:szCs w:val="22"/>
        </w:rPr>
        <w:t xml:space="preserve"> a accessibility lens applied</w:t>
      </w:r>
      <w:r w:rsidR="00BA00FE" w:rsidRPr="3C6BC0A1">
        <w:rPr>
          <w:b w:val="0"/>
          <w:color w:val="auto"/>
          <w:sz w:val="22"/>
          <w:szCs w:val="22"/>
        </w:rPr>
        <w:t>.</w:t>
      </w:r>
    </w:p>
    <w:p w14:paraId="7FD7DA7F" w14:textId="77777777" w:rsidR="00D87CCC" w:rsidRPr="00D87CCC" w:rsidRDefault="00D87CCC" w:rsidP="2B38482F">
      <w:pPr>
        <w:pStyle w:val="Heading2"/>
        <w:rPr>
          <w:b w:val="0"/>
          <w:color w:val="auto"/>
          <w:sz w:val="22"/>
          <w:szCs w:val="22"/>
          <w:highlight w:val="yellow"/>
        </w:rPr>
      </w:pPr>
    </w:p>
    <w:p w14:paraId="16E6394B" w14:textId="77777777" w:rsidR="00D87CCC" w:rsidRPr="00D87CCC" w:rsidRDefault="00D87CCC" w:rsidP="00D87CCC">
      <w:pPr>
        <w:pStyle w:val="Heading2"/>
        <w:rPr>
          <w:b w:val="0"/>
          <w:color w:val="auto"/>
          <w:sz w:val="22"/>
          <w:szCs w:val="24"/>
        </w:rPr>
      </w:pPr>
      <w:r w:rsidRPr="00D87CCC">
        <w:rPr>
          <w:b w:val="0"/>
          <w:color w:val="auto"/>
          <w:sz w:val="22"/>
          <w:szCs w:val="24"/>
        </w:rPr>
        <w:t>We are members in The Accessibility Tick Programme which has been designed to help organisations progress along their journeys to becoming more accessible and disability inclusive.  The Commission is committed to complying with relevant accessibility and disability legislation and to continuous improvement regarding accessibility and inclusion of disabled people. We are committed to consulting employees on matters that may impact their accessibility needs before decisions are made on these matters.</w:t>
      </w:r>
    </w:p>
    <w:p w14:paraId="1930AF2A" w14:textId="77777777" w:rsidR="00D87CCC" w:rsidRPr="00D87CCC" w:rsidRDefault="00D87CCC" w:rsidP="00D87CCC">
      <w:pPr>
        <w:pStyle w:val="Heading2"/>
        <w:rPr>
          <w:b w:val="0"/>
          <w:color w:val="auto"/>
          <w:sz w:val="22"/>
          <w:szCs w:val="24"/>
        </w:rPr>
      </w:pPr>
    </w:p>
    <w:p w14:paraId="16729561" w14:textId="7F7EA568" w:rsidR="00D87CCC" w:rsidRDefault="00D87CCC" w:rsidP="00D87CCC">
      <w:pPr>
        <w:pStyle w:val="Heading2"/>
        <w:rPr>
          <w:b w:val="0"/>
          <w:color w:val="auto"/>
          <w:sz w:val="22"/>
          <w:szCs w:val="24"/>
        </w:rPr>
      </w:pPr>
      <w:r w:rsidRPr="00D87CCC">
        <w:rPr>
          <w:b w:val="0"/>
          <w:color w:val="auto"/>
          <w:sz w:val="22"/>
          <w:szCs w:val="24"/>
        </w:rPr>
        <w:t>I am proud to say that the Commission is on target to joining other organisations in Aotearoa by receiving the Accessibility Tick</w:t>
      </w:r>
      <w:r>
        <w:rPr>
          <w:b w:val="0"/>
          <w:color w:val="auto"/>
          <w:sz w:val="22"/>
          <w:szCs w:val="24"/>
        </w:rPr>
        <w:t>.</w:t>
      </w:r>
    </w:p>
    <w:p w14:paraId="389C814A" w14:textId="77777777" w:rsidR="008D1C2B" w:rsidRPr="008D1C2B" w:rsidRDefault="008D1C2B" w:rsidP="008D1C2B"/>
    <w:p w14:paraId="09E7FD33" w14:textId="096363A0" w:rsidR="27641979" w:rsidRPr="008D1C2B" w:rsidRDefault="00D87CCC" w:rsidP="27641979">
      <w:pPr>
        <w:rPr>
          <w:i/>
          <w:iCs/>
        </w:rPr>
      </w:pPr>
      <w:r w:rsidRPr="27641979">
        <w:rPr>
          <w:i/>
          <w:iCs/>
        </w:rPr>
        <w:t>Helen Potiki, Executive Director of the Royal Commission of Inquiry</w:t>
      </w:r>
    </w:p>
    <w:p w14:paraId="1B7D7CF1" w14:textId="77777777" w:rsidR="008D1C2B" w:rsidRDefault="008D1C2B" w:rsidP="008D1C2B">
      <w:pPr>
        <w:pStyle w:val="Heading2"/>
      </w:pPr>
      <w:r>
        <w:t>A note from our Commissioners</w:t>
      </w:r>
    </w:p>
    <w:p w14:paraId="79CDDC9B" w14:textId="77777777" w:rsidR="008D1C2B" w:rsidRDefault="008D1C2B" w:rsidP="008D1C2B">
      <w:pPr>
        <w:pStyle w:val="Heading2"/>
        <w:rPr>
          <w:b w:val="0"/>
          <w:color w:val="auto"/>
          <w:sz w:val="22"/>
          <w:szCs w:val="24"/>
        </w:rPr>
      </w:pPr>
    </w:p>
    <w:p w14:paraId="346485A9" w14:textId="02A4C96E" w:rsidR="27641979" w:rsidRDefault="27641979" w:rsidP="008D1C2B">
      <w:pPr>
        <w:pStyle w:val="Heading2"/>
        <w:rPr>
          <w:b w:val="0"/>
          <w:color w:val="auto"/>
          <w:sz w:val="22"/>
          <w:szCs w:val="24"/>
        </w:rPr>
      </w:pPr>
      <w:r w:rsidRPr="008D1C2B">
        <w:rPr>
          <w:b w:val="0"/>
          <w:color w:val="auto"/>
          <w:sz w:val="22"/>
          <w:szCs w:val="24"/>
        </w:rPr>
        <w:t>The Commissioners of the Royal Commission are passionate around ensuring accessibility for our survivors to engage with us and endorse this important kaupapa. This will be an ongoing journey for the Commission and will help us not only better serve our communities,</w:t>
      </w:r>
      <w:r w:rsidR="008D1C2B">
        <w:rPr>
          <w:b w:val="0"/>
          <w:color w:val="auto"/>
          <w:sz w:val="22"/>
          <w:szCs w:val="24"/>
        </w:rPr>
        <w:t xml:space="preserve"> </w:t>
      </w:r>
      <w:r w:rsidRPr="008D1C2B">
        <w:rPr>
          <w:b w:val="0"/>
          <w:color w:val="auto"/>
          <w:sz w:val="22"/>
          <w:szCs w:val="24"/>
        </w:rPr>
        <w:t>but leave a lasting legacy also.</w:t>
      </w:r>
    </w:p>
    <w:p w14:paraId="06D0338B" w14:textId="77777777" w:rsidR="009C7830" w:rsidRPr="009C7830" w:rsidRDefault="009C7830" w:rsidP="009C7830"/>
    <w:p w14:paraId="6BD990B4" w14:textId="39B3411D" w:rsidR="008D1C2B" w:rsidRPr="009C7830" w:rsidRDefault="00685FB9" w:rsidP="5905D7F7">
      <w:pPr>
        <w:rPr>
          <w:i/>
          <w:iCs/>
        </w:rPr>
      </w:pPr>
      <w:r w:rsidRPr="5905D7F7">
        <w:rPr>
          <w:i/>
          <w:iCs/>
        </w:rPr>
        <w:t>Commissioner Coral Shaw</w:t>
      </w:r>
      <w:r w:rsidR="00A023A0" w:rsidRPr="5905D7F7">
        <w:rPr>
          <w:i/>
          <w:iCs/>
        </w:rPr>
        <w:t xml:space="preserve"> (Chair)</w:t>
      </w:r>
      <w:r w:rsidRPr="5905D7F7">
        <w:rPr>
          <w:i/>
          <w:iCs/>
        </w:rPr>
        <w:t xml:space="preserve">, Commissioner </w:t>
      </w:r>
      <w:r w:rsidR="00A023A0" w:rsidRPr="5905D7F7">
        <w:rPr>
          <w:i/>
          <w:iCs/>
        </w:rPr>
        <w:t>An</w:t>
      </w:r>
      <w:r w:rsidR="00757A86" w:rsidRPr="5905D7F7">
        <w:rPr>
          <w:i/>
          <w:iCs/>
        </w:rPr>
        <w:t xml:space="preserve">drew Erueti, </w:t>
      </w:r>
      <w:r w:rsidRPr="5905D7F7">
        <w:rPr>
          <w:i/>
          <w:iCs/>
        </w:rPr>
        <w:t xml:space="preserve">Commissioner </w:t>
      </w:r>
      <w:r w:rsidR="009C7830" w:rsidRPr="5905D7F7">
        <w:rPr>
          <w:i/>
          <w:iCs/>
        </w:rPr>
        <w:t xml:space="preserve">Julia Steenson, </w:t>
      </w:r>
      <w:r w:rsidRPr="5905D7F7">
        <w:rPr>
          <w:i/>
          <w:iCs/>
        </w:rPr>
        <w:t xml:space="preserve">Commissioner </w:t>
      </w:r>
      <w:r w:rsidR="009C7830" w:rsidRPr="5905D7F7">
        <w:rPr>
          <w:i/>
          <w:iCs/>
        </w:rPr>
        <w:t>Paul Gibson</w:t>
      </w:r>
      <w:r w:rsidR="00AA654A" w:rsidRPr="5905D7F7">
        <w:rPr>
          <w:i/>
          <w:iCs/>
        </w:rPr>
        <w:t xml:space="preserve"> and</w:t>
      </w:r>
      <w:r w:rsidR="009C7830" w:rsidRPr="5905D7F7">
        <w:rPr>
          <w:i/>
          <w:iCs/>
        </w:rPr>
        <w:t xml:space="preserve"> </w:t>
      </w:r>
      <w:r w:rsidRPr="5905D7F7">
        <w:rPr>
          <w:i/>
          <w:iCs/>
        </w:rPr>
        <w:t xml:space="preserve">Commissioner </w:t>
      </w:r>
      <w:r w:rsidR="009C7830" w:rsidRPr="5905D7F7">
        <w:rPr>
          <w:i/>
          <w:iCs/>
        </w:rPr>
        <w:t>Sandra Alofivae</w:t>
      </w:r>
    </w:p>
    <w:p w14:paraId="55F7131B" w14:textId="77777777" w:rsidR="009C7830" w:rsidRPr="008D1C2B" w:rsidRDefault="009C7830" w:rsidP="008D1C2B"/>
    <w:p w14:paraId="66D6492E" w14:textId="362FBEB3" w:rsidR="27641979" w:rsidRDefault="27641979" w:rsidP="27641979">
      <w:pPr>
        <w:rPr>
          <w:rFonts w:ascii="Arial" w:hAnsi="Arial"/>
          <w:i/>
          <w:iCs/>
          <w:szCs w:val="22"/>
        </w:rPr>
      </w:pPr>
    </w:p>
    <w:p w14:paraId="54E6774C" w14:textId="7285EA18" w:rsidR="00F94EED" w:rsidRDefault="00F94EED" w:rsidP="00D87CCC">
      <w:pPr>
        <w:pStyle w:val="Heading2"/>
      </w:pPr>
      <w:r w:rsidRPr="00567BD0">
        <w:lastRenderedPageBreak/>
        <w:t>Actions</w:t>
      </w:r>
      <w:r>
        <w:t xml:space="preserve"> </w:t>
      </w:r>
      <w:r w:rsidRPr="00567BD0">
        <w:t>underway</w:t>
      </w:r>
    </w:p>
    <w:p w14:paraId="576D2B8A" w14:textId="291FB700" w:rsidR="00F94EED" w:rsidRDefault="00D87CCC" w:rsidP="00F94EED">
      <w:r>
        <w:t>The Royal Commission of Inquiry</w:t>
      </w:r>
      <w:r w:rsidR="005A5340">
        <w:t xml:space="preserve"> </w:t>
      </w:r>
      <w:r w:rsidR="00E7576C">
        <w:t>is working to</w:t>
      </w:r>
      <w:r w:rsidR="00F94EED">
        <w:t xml:space="preserve"> ensure that meeting</w:t>
      </w:r>
      <w:r w:rsidR="000E7009">
        <w:t xml:space="preserve"> </w:t>
      </w:r>
      <w:r w:rsidR="00F94EED">
        <w:t xml:space="preserve">accessibility needs of our </w:t>
      </w:r>
      <w:r>
        <w:t>survivors</w:t>
      </w:r>
      <w:r w:rsidR="00F94EED">
        <w:t xml:space="preserve"> and</w:t>
      </w:r>
      <w:r w:rsidR="000E7009">
        <w:t xml:space="preserve"> </w:t>
      </w:r>
      <w:r w:rsidR="00F94EED">
        <w:t>employees is how we do business. When we</w:t>
      </w:r>
      <w:r w:rsidR="000E7009">
        <w:t xml:space="preserve"> </w:t>
      </w:r>
      <w:r w:rsidR="00E7576C">
        <w:t>design,</w:t>
      </w:r>
      <w:r w:rsidR="00F94EED">
        <w:t xml:space="preserve"> build </w:t>
      </w:r>
      <w:r w:rsidR="00E7576C">
        <w:t xml:space="preserve">and deliver </w:t>
      </w:r>
      <w:r w:rsidR="00F94EED">
        <w:t xml:space="preserve">our </w:t>
      </w:r>
      <w:r w:rsidR="00E7576C">
        <w:t>services</w:t>
      </w:r>
      <w:r w:rsidR="00F94EED">
        <w:t xml:space="preserve">, we are </w:t>
      </w:r>
      <w:r w:rsidR="00EB4596">
        <w:t xml:space="preserve">ensuring that accessibility is considered. </w:t>
      </w:r>
    </w:p>
    <w:p w14:paraId="5FD226AE" w14:textId="615E4318" w:rsidR="00773357" w:rsidRDefault="00F94EED" w:rsidP="00F94EED">
      <w:r>
        <w:t xml:space="preserve">In doing this, our </w:t>
      </w:r>
      <w:r w:rsidR="00D87CCC">
        <w:t>survivors</w:t>
      </w:r>
      <w:r>
        <w:t xml:space="preserve"> are critical</w:t>
      </w:r>
      <w:r w:rsidR="000E7009">
        <w:t xml:space="preserve"> </w:t>
      </w:r>
      <w:r>
        <w:t>in testing our solutions and providing</w:t>
      </w:r>
      <w:r w:rsidR="000E7009">
        <w:t xml:space="preserve"> </w:t>
      </w:r>
      <w:r>
        <w:t>feedback. We’re working to better support</w:t>
      </w:r>
      <w:r w:rsidR="000E7009">
        <w:t xml:space="preserve"> </w:t>
      </w:r>
      <w:r>
        <w:t>our employees, so they are able to better</w:t>
      </w:r>
      <w:r w:rsidR="000E7009">
        <w:t xml:space="preserve"> </w:t>
      </w:r>
      <w:r>
        <w:t xml:space="preserve">support and service our </w:t>
      </w:r>
      <w:r w:rsidR="00D87CCC">
        <w:t>survivors</w:t>
      </w:r>
      <w:r>
        <w:t>, and the</w:t>
      </w:r>
      <w:r w:rsidR="000E7009">
        <w:t xml:space="preserve"> </w:t>
      </w:r>
      <w:r>
        <w:t>communities in which they live.</w:t>
      </w:r>
    </w:p>
    <w:p w14:paraId="6DBB7770" w14:textId="77777777" w:rsidR="000E7009" w:rsidRDefault="000E7009" w:rsidP="000E7009">
      <w:pPr>
        <w:pStyle w:val="Heading2"/>
      </w:pPr>
      <w:r>
        <w:t>More to come</w:t>
      </w:r>
    </w:p>
    <w:p w14:paraId="12EFF127" w14:textId="15B503F6" w:rsidR="000E7009" w:rsidRDefault="000E7009" w:rsidP="000E7009">
      <w:r>
        <w:t>Our Accessibility Action Plan is a big part of our inclusive culture and our vision to continually improve accessibility for our people and s</w:t>
      </w:r>
      <w:r w:rsidR="3E8E5461">
        <w:t>urvivors</w:t>
      </w:r>
      <w:r>
        <w:t xml:space="preserve">. We want to make it easy for </w:t>
      </w:r>
      <w:r w:rsidR="75711A28">
        <w:t xml:space="preserve">survivors </w:t>
      </w:r>
      <w:r>
        <w:t xml:space="preserve">with accessibility needs to </w:t>
      </w:r>
      <w:r w:rsidR="00E24A19">
        <w:t>interac</w:t>
      </w:r>
      <w:r w:rsidR="00CB2E6C">
        <w:t xml:space="preserve">t </w:t>
      </w:r>
      <w:r>
        <w:t xml:space="preserve">with </w:t>
      </w:r>
      <w:r w:rsidR="00CB2E6C">
        <w:t>the Commission</w:t>
      </w:r>
      <w:r>
        <w:t>. To do this we are focusing on:</w:t>
      </w:r>
    </w:p>
    <w:p w14:paraId="22A47770" w14:textId="63C2E6A2" w:rsidR="000E7009" w:rsidRDefault="000E7009" w:rsidP="000E7009">
      <w:pPr>
        <w:pStyle w:val="ListBullet"/>
      </w:pPr>
      <w:r>
        <w:t xml:space="preserve">Leading in digital accessibility as more </w:t>
      </w:r>
      <w:r w:rsidR="0ADF76B2">
        <w:t xml:space="preserve">survivors </w:t>
      </w:r>
      <w:r>
        <w:t>use technology to interact with us</w:t>
      </w:r>
    </w:p>
    <w:p w14:paraId="71BD7677" w14:textId="77777777" w:rsidR="000E7009" w:rsidRDefault="000E7009" w:rsidP="000E7009">
      <w:pPr>
        <w:pStyle w:val="ListBullet"/>
      </w:pPr>
      <w:r>
        <w:t>Creating a more diverse workforce through recruitment of people with a disability</w:t>
      </w:r>
    </w:p>
    <w:p w14:paraId="0B4DC4FF" w14:textId="77777777" w:rsidR="000E7009" w:rsidRDefault="000E7009" w:rsidP="000E7009">
      <w:pPr>
        <w:pStyle w:val="ListBullet"/>
      </w:pPr>
      <w:r>
        <w:t>Further driving inclusion by educating our people about accessibility</w:t>
      </w:r>
    </w:p>
    <w:p w14:paraId="22D5325E" w14:textId="77777777" w:rsidR="000E7009" w:rsidRDefault="000E7009" w:rsidP="000E7009">
      <w:pPr>
        <w:pStyle w:val="Heading2"/>
      </w:pPr>
      <w:r>
        <w:t>Governance</w:t>
      </w:r>
    </w:p>
    <w:p w14:paraId="18E9B0BB" w14:textId="3E6E820A" w:rsidR="00773357" w:rsidRDefault="000E7009" w:rsidP="00773357">
      <w:r>
        <w:t xml:space="preserve">Actions within this Action Plan are reported to the </w:t>
      </w:r>
      <w:r w:rsidR="007C5F4C">
        <w:t xml:space="preserve">Senior Leadership Team. </w:t>
      </w:r>
    </w:p>
    <w:p w14:paraId="5DAB6C7B" w14:textId="77777777" w:rsidR="00773357" w:rsidRDefault="00773357" w:rsidP="00773357">
      <w:r>
        <w:br w:type="page"/>
      </w:r>
    </w:p>
    <w:p w14:paraId="13838A4A" w14:textId="652B21C9" w:rsidR="00773357" w:rsidRPr="00F94EED" w:rsidRDefault="00D55390" w:rsidP="00B51863">
      <w:pPr>
        <w:pStyle w:val="Heading1"/>
        <w:rPr>
          <w:caps w:val="0"/>
        </w:rPr>
      </w:pPr>
      <w:bookmarkStart w:id="1" w:name="_Toc466293215"/>
      <w:r>
        <w:rPr>
          <w:caps w:val="0"/>
        </w:rPr>
        <w:lastRenderedPageBreak/>
        <w:tab/>
      </w:r>
      <w:r w:rsidRPr="3C6BC0A1">
        <w:rPr>
          <w:caps w:val="0"/>
        </w:rPr>
        <w:t xml:space="preserve">Our </w:t>
      </w:r>
      <w:bookmarkEnd w:id="1"/>
      <w:r w:rsidR="00D87CCC" w:rsidRPr="3C6BC0A1">
        <w:rPr>
          <w:caps w:val="0"/>
        </w:rPr>
        <w:t>Survivors</w:t>
      </w:r>
    </w:p>
    <w:p w14:paraId="25D2E516" w14:textId="77777777" w:rsidR="00007713" w:rsidRDefault="00007713" w:rsidP="3C6BC0A1">
      <w:pPr>
        <w:pStyle w:val="Quote"/>
        <w:rPr>
          <w:rFonts w:ascii="Arial" w:hAnsi="Arial"/>
          <w:bCs/>
          <w:szCs w:val="28"/>
        </w:rPr>
      </w:pPr>
      <w:r w:rsidRPr="3C6BC0A1">
        <w:rPr>
          <w:bCs/>
          <w:i/>
          <w:iCs/>
          <w:szCs w:val="28"/>
        </w:rPr>
        <w:t>“Sometimes, remediating human rights violations can depend upon the accumulated weight of a community of stories that together make injustice visible and ordinary rights plausible and possible.”</w:t>
      </w:r>
      <w:r w:rsidRPr="3C6BC0A1">
        <w:rPr>
          <w:bCs/>
          <w:szCs w:val="28"/>
        </w:rPr>
        <w:t xml:space="preserve"> </w:t>
      </w:r>
      <w:r w:rsidRPr="3C6BC0A1">
        <w:rPr>
          <w:b w:val="0"/>
          <w:i/>
          <w:iCs/>
          <w:sz w:val="22"/>
          <w:szCs w:val="22"/>
        </w:rPr>
        <w:t xml:space="preserve">(Plummer, K. (1995))  </w:t>
      </w:r>
    </w:p>
    <w:p w14:paraId="6E54D6F7" w14:textId="0345BF92" w:rsidR="00B873B4" w:rsidRDefault="00B873B4" w:rsidP="0078204F">
      <w:pPr>
        <w:spacing w:after="240"/>
      </w:pPr>
      <w:r>
        <w:t xml:space="preserve">We strive to make it easy for our </w:t>
      </w:r>
      <w:r w:rsidR="00BA4DA0">
        <w:t>survivors to engage with us,</w:t>
      </w:r>
      <w:r>
        <w:t xml:space="preserve"> no matter how they choose to interact. To do this we want to lead the way with digital accessibility and ensure our services, facilities and buildings are inclusive of people with a disability.</w:t>
      </w:r>
    </w:p>
    <w:p w14:paraId="0975CB69" w14:textId="2F9649D8" w:rsidR="00D55390" w:rsidRDefault="00D55390" w:rsidP="00D55390">
      <w:pPr>
        <w:pStyle w:val="Heading2"/>
      </w:pPr>
      <w:r>
        <w:t>Our Year Objective</w:t>
      </w:r>
    </w:p>
    <w:p w14:paraId="3EF25E20" w14:textId="238879C5" w:rsidR="00D55390" w:rsidRPr="00D55390" w:rsidRDefault="00D55390" w:rsidP="0078204F">
      <w:pPr>
        <w:spacing w:after="240"/>
        <w:rPr>
          <w:b/>
          <w:bCs/>
        </w:rPr>
      </w:pPr>
      <w:r w:rsidRPr="00D55390">
        <w:rPr>
          <w:b/>
          <w:bCs/>
        </w:rPr>
        <w:t>Our products, services and buildings will be accessible for all.</w:t>
      </w:r>
    </w:p>
    <w:tbl>
      <w:tblPr>
        <w:tblStyle w:val="DefaultTable"/>
        <w:tblW w:w="9196" w:type="dxa"/>
        <w:tblInd w:w="-23" w:type="dxa"/>
        <w:tblLook w:val="0420" w:firstRow="1" w:lastRow="0" w:firstColumn="0" w:lastColumn="0" w:noHBand="0" w:noVBand="1"/>
        <w:tblCaption w:val="Our aim table"/>
        <w:tblDescription w:val="Our aim: Continue making our products, services and buildings accessible for all."/>
      </w:tblPr>
      <w:tblGrid>
        <w:gridCol w:w="3480"/>
        <w:gridCol w:w="1650"/>
        <w:gridCol w:w="2550"/>
        <w:gridCol w:w="1516"/>
      </w:tblGrid>
      <w:tr w:rsidR="004F317D" w14:paraId="57543556" w14:textId="7E47A87E" w:rsidTr="08F5E215">
        <w:trPr>
          <w:cnfStyle w:val="100000000000" w:firstRow="1" w:lastRow="0" w:firstColumn="0" w:lastColumn="0" w:oddVBand="0" w:evenVBand="0" w:oddHBand="0" w:evenHBand="0" w:firstRowFirstColumn="0" w:firstRowLastColumn="0" w:lastRowFirstColumn="0" w:lastRowLastColumn="0"/>
          <w:cantSplit w:val="0"/>
          <w:tblHeader/>
        </w:trPr>
        <w:tc>
          <w:tcPr>
            <w:tcW w:w="3480" w:type="dxa"/>
          </w:tcPr>
          <w:p w14:paraId="2731423F" w14:textId="1ACCC7A8" w:rsidR="004F317D" w:rsidRDefault="004F317D" w:rsidP="00AE0564">
            <w:pPr>
              <w:pStyle w:val="TableHeading"/>
            </w:pPr>
            <w:r>
              <w:t xml:space="preserve">Actions </w:t>
            </w:r>
            <w:r w:rsidR="00D87CCC">
              <w:t>2021-2022</w:t>
            </w:r>
          </w:p>
        </w:tc>
        <w:tc>
          <w:tcPr>
            <w:tcW w:w="1650" w:type="dxa"/>
          </w:tcPr>
          <w:p w14:paraId="46E7AF07" w14:textId="77777777" w:rsidR="004F317D" w:rsidRPr="00567BD0" w:rsidRDefault="004F317D" w:rsidP="4911599D">
            <w:pPr>
              <w:pStyle w:val="TableHeading"/>
              <w:rPr>
                <w:sz w:val="28"/>
                <w:szCs w:val="28"/>
              </w:rPr>
            </w:pPr>
            <w:r w:rsidRPr="00567BD0">
              <w:rPr>
                <w:sz w:val="28"/>
                <w:szCs w:val="28"/>
              </w:rPr>
              <w:t>When</w:t>
            </w:r>
          </w:p>
        </w:tc>
        <w:tc>
          <w:tcPr>
            <w:tcW w:w="2550" w:type="dxa"/>
          </w:tcPr>
          <w:p w14:paraId="7D01B1C5" w14:textId="347B1A33" w:rsidR="004F317D" w:rsidRPr="00567BD0" w:rsidRDefault="004F317D" w:rsidP="4911599D">
            <w:pPr>
              <w:pStyle w:val="TableHeading"/>
              <w:rPr>
                <w:sz w:val="28"/>
                <w:szCs w:val="28"/>
              </w:rPr>
            </w:pPr>
            <w:r w:rsidRPr="00567BD0">
              <w:rPr>
                <w:sz w:val="28"/>
                <w:szCs w:val="28"/>
              </w:rPr>
              <w:t>Who</w:t>
            </w:r>
          </w:p>
        </w:tc>
        <w:tc>
          <w:tcPr>
            <w:tcW w:w="1516" w:type="dxa"/>
          </w:tcPr>
          <w:p w14:paraId="601868C0" w14:textId="54239BAF" w:rsidR="004F317D" w:rsidRPr="00567BD0" w:rsidRDefault="004F317D" w:rsidP="4911599D">
            <w:pPr>
              <w:pStyle w:val="TableHeading"/>
              <w:rPr>
                <w:sz w:val="28"/>
                <w:szCs w:val="28"/>
              </w:rPr>
            </w:pPr>
            <w:r>
              <w:rPr>
                <w:sz w:val="28"/>
                <w:szCs w:val="28"/>
              </w:rPr>
              <w:t>Status</w:t>
            </w:r>
          </w:p>
        </w:tc>
      </w:tr>
      <w:tr w:rsidR="7A9E2493" w14:paraId="46E85EB0" w14:textId="77777777" w:rsidTr="08F5E215">
        <w:trPr>
          <w:cnfStyle w:val="000000100000" w:firstRow="0" w:lastRow="0" w:firstColumn="0" w:lastColumn="0" w:oddVBand="0" w:evenVBand="0" w:oddHBand="1" w:evenHBand="0" w:firstRowFirstColumn="0" w:firstRowLastColumn="0" w:lastRowFirstColumn="0" w:lastRowLastColumn="0"/>
          <w:cantSplit w:val="0"/>
        </w:trPr>
        <w:tc>
          <w:tcPr>
            <w:tcW w:w="3480" w:type="dxa"/>
          </w:tcPr>
          <w:p w14:paraId="4B2C757B" w14:textId="01D8AEF3" w:rsidR="7A9E2493" w:rsidRDefault="7A9E2493" w:rsidP="7A9E2493">
            <w:pPr>
              <w:pStyle w:val="TableText"/>
              <w:rPr>
                <w:rFonts w:ascii="Arial" w:hAnsi="Arial"/>
                <w:szCs w:val="22"/>
              </w:rPr>
            </w:pPr>
            <w:r w:rsidRPr="7A9E2493">
              <w:rPr>
                <w:rFonts w:ascii="Arial" w:hAnsi="Arial"/>
                <w:szCs w:val="22"/>
              </w:rPr>
              <w:t>Complete an assessment of the Hearing Space and level 2 of Khyber Pass</w:t>
            </w:r>
          </w:p>
        </w:tc>
        <w:tc>
          <w:tcPr>
            <w:tcW w:w="1650" w:type="dxa"/>
          </w:tcPr>
          <w:p w14:paraId="6577C753" w14:textId="2A0EE8CC" w:rsidR="7A9E2493" w:rsidRDefault="7A9E2493" w:rsidP="7A9E2493">
            <w:pPr>
              <w:pStyle w:val="TableText"/>
              <w:rPr>
                <w:rFonts w:ascii="Arial" w:hAnsi="Arial"/>
                <w:szCs w:val="22"/>
              </w:rPr>
            </w:pPr>
            <w:r w:rsidRPr="7A9E2493">
              <w:rPr>
                <w:rFonts w:ascii="Arial" w:hAnsi="Arial"/>
                <w:szCs w:val="22"/>
              </w:rPr>
              <w:t>01/04/2022</w:t>
            </w:r>
          </w:p>
        </w:tc>
        <w:tc>
          <w:tcPr>
            <w:tcW w:w="2550" w:type="dxa"/>
          </w:tcPr>
          <w:p w14:paraId="211CABDB" w14:textId="473BD21F" w:rsidR="002108BC" w:rsidRDefault="002108BC" w:rsidP="7A9E2493">
            <w:pPr>
              <w:pStyle w:val="TableText"/>
            </w:pPr>
            <w:r>
              <w:t>Disability Investigation Team</w:t>
            </w:r>
          </w:p>
        </w:tc>
        <w:tc>
          <w:tcPr>
            <w:tcW w:w="1516" w:type="dxa"/>
          </w:tcPr>
          <w:p w14:paraId="37EE76FD" w14:textId="5033D769" w:rsidR="7A9E2493" w:rsidRDefault="7A9E2493" w:rsidP="7A9E2493">
            <w:pPr>
              <w:pStyle w:val="TableText"/>
              <w:rPr>
                <w:rFonts w:ascii="Arial" w:hAnsi="Arial"/>
                <w:szCs w:val="22"/>
              </w:rPr>
            </w:pPr>
            <w:r w:rsidRPr="7A9E2493">
              <w:rPr>
                <w:rFonts w:ascii="Arial" w:hAnsi="Arial"/>
                <w:szCs w:val="22"/>
              </w:rPr>
              <w:t>Completed</w:t>
            </w:r>
          </w:p>
        </w:tc>
      </w:tr>
      <w:tr w:rsidR="004F317D" w14:paraId="1669F8EC" w14:textId="61DF8CAE" w:rsidTr="08F5E215">
        <w:trPr>
          <w:cnfStyle w:val="000000010000" w:firstRow="0" w:lastRow="0" w:firstColumn="0" w:lastColumn="0" w:oddVBand="0" w:evenVBand="0" w:oddHBand="0" w:evenHBand="1" w:firstRowFirstColumn="0" w:firstRowLastColumn="0" w:lastRowFirstColumn="0" w:lastRowLastColumn="0"/>
          <w:cantSplit w:val="0"/>
        </w:trPr>
        <w:tc>
          <w:tcPr>
            <w:tcW w:w="3480" w:type="dxa"/>
          </w:tcPr>
          <w:p w14:paraId="64E118CF" w14:textId="35F6F755" w:rsidR="004F317D" w:rsidRDefault="002108BC" w:rsidP="00F2124A">
            <w:pPr>
              <w:pStyle w:val="TableText"/>
            </w:pPr>
            <w:r>
              <w:t>Communicate Executive Directors commitment to accessibility on the website</w:t>
            </w:r>
          </w:p>
        </w:tc>
        <w:tc>
          <w:tcPr>
            <w:tcW w:w="1650" w:type="dxa"/>
          </w:tcPr>
          <w:p w14:paraId="59DEC491" w14:textId="2935ED0D" w:rsidR="004F317D" w:rsidRDefault="00C34BC3" w:rsidP="00AE0564">
            <w:pPr>
              <w:pStyle w:val="TableText"/>
            </w:pPr>
            <w:r>
              <w:t xml:space="preserve">April </w:t>
            </w:r>
            <w:r w:rsidR="002108BC">
              <w:t>2022</w:t>
            </w:r>
          </w:p>
        </w:tc>
        <w:tc>
          <w:tcPr>
            <w:tcW w:w="2550" w:type="dxa"/>
          </w:tcPr>
          <w:p w14:paraId="5E0F8DF8" w14:textId="6BE7A351" w:rsidR="004F317D" w:rsidRDefault="002108BC" w:rsidP="4911599D">
            <w:pPr>
              <w:pStyle w:val="TableText"/>
            </w:pPr>
            <w:r>
              <w:t>H&amp;S, Comms</w:t>
            </w:r>
          </w:p>
        </w:tc>
        <w:tc>
          <w:tcPr>
            <w:tcW w:w="1516" w:type="dxa"/>
          </w:tcPr>
          <w:p w14:paraId="10A775FA" w14:textId="62C018CA" w:rsidR="004F317D" w:rsidRDefault="002108BC" w:rsidP="4911599D">
            <w:pPr>
              <w:pStyle w:val="TableText"/>
            </w:pPr>
            <w:r>
              <w:t>In progress</w:t>
            </w:r>
          </w:p>
        </w:tc>
      </w:tr>
      <w:tr w:rsidR="004F317D" w14:paraId="64192158" w14:textId="4F9C0324" w:rsidTr="08F5E215">
        <w:trPr>
          <w:cnfStyle w:val="000000100000" w:firstRow="0" w:lastRow="0" w:firstColumn="0" w:lastColumn="0" w:oddVBand="0" w:evenVBand="0" w:oddHBand="1" w:evenHBand="0" w:firstRowFirstColumn="0" w:firstRowLastColumn="0" w:lastRowFirstColumn="0" w:lastRowLastColumn="0"/>
          <w:cantSplit w:val="0"/>
        </w:trPr>
        <w:tc>
          <w:tcPr>
            <w:tcW w:w="3480" w:type="dxa"/>
          </w:tcPr>
          <w:p w14:paraId="30689DAF" w14:textId="3C60F66E" w:rsidR="004F317D" w:rsidRDefault="31CEF21F" w:rsidP="00AE0564">
            <w:pPr>
              <w:pStyle w:val="TableText"/>
            </w:pPr>
            <w:r>
              <w:t>Making the complaints process on the website more accessible</w:t>
            </w:r>
            <w:r w:rsidR="004E26B5">
              <w:t>, as a priority</w:t>
            </w:r>
            <w:r w:rsidR="7A4C9A75">
              <w:t xml:space="preserve">. Ensuring it is easier to find and in an easy read format. </w:t>
            </w:r>
          </w:p>
        </w:tc>
        <w:tc>
          <w:tcPr>
            <w:tcW w:w="1650" w:type="dxa"/>
          </w:tcPr>
          <w:p w14:paraId="112EA8C5" w14:textId="01F335A0" w:rsidR="004F317D" w:rsidRDefault="00C71C63" w:rsidP="00AE0564">
            <w:pPr>
              <w:pStyle w:val="TableText"/>
            </w:pPr>
            <w:r>
              <w:t>June 2022</w:t>
            </w:r>
          </w:p>
        </w:tc>
        <w:tc>
          <w:tcPr>
            <w:tcW w:w="2550" w:type="dxa"/>
          </w:tcPr>
          <w:p w14:paraId="402DBD67" w14:textId="4C14CFCA" w:rsidR="004F317D" w:rsidRDefault="004E26B5" w:rsidP="4911599D">
            <w:pPr>
              <w:pStyle w:val="TableText"/>
            </w:pPr>
            <w:r>
              <w:t>Comms/Governance</w:t>
            </w:r>
          </w:p>
        </w:tc>
        <w:tc>
          <w:tcPr>
            <w:tcW w:w="1516" w:type="dxa"/>
          </w:tcPr>
          <w:p w14:paraId="2D90E5EB" w14:textId="49FAB9E0" w:rsidR="004F317D" w:rsidRDefault="004E26B5" w:rsidP="4911599D">
            <w:pPr>
              <w:pStyle w:val="TableText"/>
            </w:pPr>
            <w:r>
              <w:t>In progress</w:t>
            </w:r>
          </w:p>
        </w:tc>
      </w:tr>
      <w:tr w:rsidR="0BD3FB8B" w14:paraId="76DA8A25" w14:textId="77777777" w:rsidTr="08F5E215">
        <w:trPr>
          <w:cnfStyle w:val="000000010000" w:firstRow="0" w:lastRow="0" w:firstColumn="0" w:lastColumn="0" w:oddVBand="0" w:evenVBand="0" w:oddHBand="0" w:evenHBand="1" w:firstRowFirstColumn="0" w:firstRowLastColumn="0" w:lastRowFirstColumn="0" w:lastRowLastColumn="0"/>
          <w:cantSplit w:val="0"/>
        </w:trPr>
        <w:tc>
          <w:tcPr>
            <w:tcW w:w="3480" w:type="dxa"/>
          </w:tcPr>
          <w:p w14:paraId="0A7B4043" w14:textId="0504DD58" w:rsidR="0BD3FB8B" w:rsidRDefault="0BD3FB8B" w:rsidP="0BD3FB8B">
            <w:pPr>
              <w:pStyle w:val="TableText"/>
              <w:rPr>
                <w:rFonts w:ascii="Arial" w:hAnsi="Arial"/>
                <w:szCs w:val="22"/>
              </w:rPr>
            </w:pPr>
            <w:r w:rsidRPr="0BD3FB8B">
              <w:rPr>
                <w:rFonts w:ascii="Arial" w:hAnsi="Arial"/>
                <w:szCs w:val="22"/>
              </w:rPr>
              <w:t xml:space="preserve">Establishing a verbal complaints process </w:t>
            </w:r>
          </w:p>
        </w:tc>
        <w:tc>
          <w:tcPr>
            <w:tcW w:w="1650" w:type="dxa"/>
          </w:tcPr>
          <w:p w14:paraId="5CDDCB15" w14:textId="4F801E18" w:rsidR="0BD3FB8B" w:rsidRDefault="0BD3FB8B" w:rsidP="0BD3FB8B">
            <w:pPr>
              <w:pStyle w:val="TableText"/>
              <w:rPr>
                <w:rFonts w:ascii="Arial" w:hAnsi="Arial"/>
                <w:szCs w:val="22"/>
              </w:rPr>
            </w:pPr>
            <w:r w:rsidRPr="0BD3FB8B">
              <w:rPr>
                <w:rFonts w:ascii="Arial" w:hAnsi="Arial"/>
                <w:szCs w:val="22"/>
              </w:rPr>
              <w:t>June 2022</w:t>
            </w:r>
          </w:p>
        </w:tc>
        <w:tc>
          <w:tcPr>
            <w:tcW w:w="2550" w:type="dxa"/>
          </w:tcPr>
          <w:p w14:paraId="25E161C5" w14:textId="7DFB6F94" w:rsidR="0BD3FB8B" w:rsidRDefault="0BD3FB8B" w:rsidP="7A9E2493">
            <w:pPr>
              <w:pStyle w:val="TableText"/>
              <w:rPr>
                <w:rFonts w:ascii="Arial" w:hAnsi="Arial"/>
              </w:rPr>
            </w:pPr>
            <w:r w:rsidRPr="7A9E2493">
              <w:rPr>
                <w:rFonts w:ascii="Arial" w:hAnsi="Arial"/>
              </w:rPr>
              <w:t>Comms/Survivor Accounts/Governance</w:t>
            </w:r>
          </w:p>
        </w:tc>
        <w:tc>
          <w:tcPr>
            <w:tcW w:w="1516" w:type="dxa"/>
          </w:tcPr>
          <w:p w14:paraId="14606629" w14:textId="47CDE0CF" w:rsidR="0BD3FB8B" w:rsidRDefault="0BD3FB8B" w:rsidP="0BD3FB8B">
            <w:pPr>
              <w:pStyle w:val="TableText"/>
              <w:rPr>
                <w:rFonts w:ascii="Arial" w:hAnsi="Arial"/>
                <w:szCs w:val="22"/>
              </w:rPr>
            </w:pPr>
            <w:r w:rsidRPr="0BD3FB8B">
              <w:rPr>
                <w:rFonts w:ascii="Arial" w:hAnsi="Arial"/>
                <w:szCs w:val="22"/>
              </w:rPr>
              <w:t>To be started</w:t>
            </w:r>
          </w:p>
        </w:tc>
      </w:tr>
      <w:tr w:rsidR="004F317D" w14:paraId="47BF7B80" w14:textId="41AF3367" w:rsidTr="08F5E215">
        <w:trPr>
          <w:cnfStyle w:val="000000100000" w:firstRow="0" w:lastRow="0" w:firstColumn="0" w:lastColumn="0" w:oddVBand="0" w:evenVBand="0" w:oddHBand="1" w:evenHBand="0" w:firstRowFirstColumn="0" w:firstRowLastColumn="0" w:lastRowFirstColumn="0" w:lastRowLastColumn="0"/>
          <w:cantSplit w:val="0"/>
        </w:trPr>
        <w:tc>
          <w:tcPr>
            <w:tcW w:w="3480" w:type="dxa"/>
          </w:tcPr>
          <w:p w14:paraId="2B5C8289" w14:textId="7DE47DBF" w:rsidR="004F317D" w:rsidRDefault="00A24C2A" w:rsidP="4911599D">
            <w:pPr>
              <w:pStyle w:val="TableText"/>
              <w:rPr>
                <w:highlight w:val="yellow"/>
              </w:rPr>
            </w:pPr>
            <w:r>
              <w:t>Create a sign language version of the private sessions video</w:t>
            </w:r>
          </w:p>
        </w:tc>
        <w:tc>
          <w:tcPr>
            <w:tcW w:w="1650" w:type="dxa"/>
          </w:tcPr>
          <w:p w14:paraId="41419408" w14:textId="0D667543" w:rsidR="004F317D" w:rsidRDefault="00C71C63" w:rsidP="00AE0564">
            <w:pPr>
              <w:pStyle w:val="TableText"/>
            </w:pPr>
            <w:r>
              <w:t>June 2022</w:t>
            </w:r>
          </w:p>
        </w:tc>
        <w:tc>
          <w:tcPr>
            <w:tcW w:w="2550" w:type="dxa"/>
          </w:tcPr>
          <w:p w14:paraId="028BF789" w14:textId="5A05B59A" w:rsidR="004F317D" w:rsidRDefault="0BD3FB8B" w:rsidP="7A9E2493">
            <w:pPr>
              <w:pStyle w:val="TableText"/>
              <w:rPr>
                <w:rFonts w:ascii="Arial" w:hAnsi="Arial"/>
              </w:rPr>
            </w:pPr>
            <w:r w:rsidRPr="7A9E2493">
              <w:rPr>
                <w:rFonts w:ascii="Arial" w:hAnsi="Arial"/>
              </w:rPr>
              <w:t>Comms/Survivor Accounts/Governance</w:t>
            </w:r>
          </w:p>
        </w:tc>
        <w:tc>
          <w:tcPr>
            <w:tcW w:w="1516" w:type="dxa"/>
          </w:tcPr>
          <w:p w14:paraId="4FA20B2F" w14:textId="2D8706DE" w:rsidR="004F317D" w:rsidRDefault="003F7FA3" w:rsidP="4911599D">
            <w:pPr>
              <w:pStyle w:val="TableText"/>
            </w:pPr>
            <w:r>
              <w:t>To be started</w:t>
            </w:r>
          </w:p>
        </w:tc>
      </w:tr>
      <w:tr w:rsidR="00F61F67" w14:paraId="64E7D935" w14:textId="77777777" w:rsidTr="08F5E215">
        <w:trPr>
          <w:cnfStyle w:val="000000010000" w:firstRow="0" w:lastRow="0" w:firstColumn="0" w:lastColumn="0" w:oddVBand="0" w:evenVBand="0" w:oddHBand="0" w:evenHBand="1" w:firstRowFirstColumn="0" w:firstRowLastColumn="0" w:lastRowFirstColumn="0" w:lastRowLastColumn="0"/>
          <w:cantSplit w:val="0"/>
        </w:trPr>
        <w:tc>
          <w:tcPr>
            <w:tcW w:w="3480" w:type="dxa"/>
          </w:tcPr>
          <w:p w14:paraId="2F46897A" w14:textId="3ECF8228" w:rsidR="00F61F67" w:rsidRDefault="00F61F67" w:rsidP="00F61F67">
            <w:pPr>
              <w:pStyle w:val="TableText"/>
            </w:pPr>
            <w:r>
              <w:t xml:space="preserve">Ensuring that the Accessibility hearing is as accessible as possible for our survivors, staff, community and Commissioners. </w:t>
            </w:r>
          </w:p>
        </w:tc>
        <w:tc>
          <w:tcPr>
            <w:tcW w:w="1650" w:type="dxa"/>
          </w:tcPr>
          <w:p w14:paraId="4014CA3D" w14:textId="39C0FC58" w:rsidR="00F61F67" w:rsidRDefault="00F61F67" w:rsidP="00F61F67">
            <w:pPr>
              <w:pStyle w:val="TableText"/>
            </w:pPr>
            <w:r>
              <w:t>By the time of hearing, July 2022</w:t>
            </w:r>
          </w:p>
        </w:tc>
        <w:tc>
          <w:tcPr>
            <w:tcW w:w="2550" w:type="dxa"/>
          </w:tcPr>
          <w:p w14:paraId="789F537C" w14:textId="3B9D7E35" w:rsidR="00F61F67" w:rsidRPr="7A9E2493" w:rsidRDefault="00F61F67" w:rsidP="00F61F67">
            <w:pPr>
              <w:pStyle w:val="TableText"/>
              <w:rPr>
                <w:rFonts w:ascii="Arial" w:hAnsi="Arial"/>
              </w:rPr>
            </w:pPr>
            <w:r>
              <w:t>Disability Investigation Team</w:t>
            </w:r>
          </w:p>
        </w:tc>
        <w:tc>
          <w:tcPr>
            <w:tcW w:w="1516" w:type="dxa"/>
          </w:tcPr>
          <w:p w14:paraId="1352A746" w14:textId="23FF809C" w:rsidR="00F61F67" w:rsidRDefault="00F61F67" w:rsidP="00F61F67">
            <w:pPr>
              <w:pStyle w:val="TableText"/>
            </w:pPr>
            <w:r>
              <w:t>In progress</w:t>
            </w:r>
          </w:p>
        </w:tc>
      </w:tr>
      <w:tr w:rsidR="00595492" w14:paraId="786B7A56" w14:textId="77777777" w:rsidTr="08F5E215">
        <w:trPr>
          <w:cnfStyle w:val="000000100000" w:firstRow="0" w:lastRow="0" w:firstColumn="0" w:lastColumn="0" w:oddVBand="0" w:evenVBand="0" w:oddHBand="1" w:evenHBand="0" w:firstRowFirstColumn="0" w:firstRowLastColumn="0" w:lastRowFirstColumn="0" w:lastRowLastColumn="0"/>
          <w:cantSplit w:val="0"/>
        </w:trPr>
        <w:tc>
          <w:tcPr>
            <w:tcW w:w="3480" w:type="dxa"/>
          </w:tcPr>
          <w:p w14:paraId="388B7CD6" w14:textId="0C5052C3" w:rsidR="00595492" w:rsidRDefault="00595492" w:rsidP="00595492">
            <w:pPr>
              <w:pStyle w:val="TableText"/>
            </w:pPr>
            <w:r w:rsidRPr="2B38482F">
              <w:rPr>
                <w:rFonts w:ascii="Arial" w:hAnsi="Arial"/>
                <w:szCs w:val="22"/>
              </w:rPr>
              <w:t>Update the hearing space and office as much as possible from the report.</w:t>
            </w:r>
          </w:p>
        </w:tc>
        <w:tc>
          <w:tcPr>
            <w:tcW w:w="1650" w:type="dxa"/>
          </w:tcPr>
          <w:p w14:paraId="5A40FDCD" w14:textId="0083AAA2" w:rsidR="00595492" w:rsidRDefault="00595492" w:rsidP="00595492">
            <w:pPr>
              <w:pStyle w:val="TableText"/>
            </w:pPr>
            <w:r w:rsidRPr="2B38482F">
              <w:rPr>
                <w:rFonts w:ascii="Arial" w:hAnsi="Arial"/>
                <w:szCs w:val="22"/>
              </w:rPr>
              <w:t xml:space="preserve">July 2022 </w:t>
            </w:r>
          </w:p>
        </w:tc>
        <w:tc>
          <w:tcPr>
            <w:tcW w:w="2550" w:type="dxa"/>
          </w:tcPr>
          <w:p w14:paraId="0A557612" w14:textId="5635A745" w:rsidR="00595492" w:rsidRDefault="00595492" w:rsidP="00595492">
            <w:pPr>
              <w:pStyle w:val="TableText"/>
            </w:pPr>
            <w:r w:rsidRPr="2B38482F">
              <w:rPr>
                <w:rFonts w:ascii="Arial" w:hAnsi="Arial"/>
                <w:szCs w:val="22"/>
              </w:rPr>
              <w:t>Property</w:t>
            </w:r>
          </w:p>
        </w:tc>
        <w:tc>
          <w:tcPr>
            <w:tcW w:w="1516" w:type="dxa"/>
          </w:tcPr>
          <w:p w14:paraId="0B9F46CA" w14:textId="635EF887" w:rsidR="00595492" w:rsidRDefault="00595492" w:rsidP="00595492">
            <w:pPr>
              <w:pStyle w:val="TableText"/>
            </w:pPr>
            <w:r w:rsidRPr="2B38482F">
              <w:rPr>
                <w:rFonts w:ascii="Arial" w:hAnsi="Arial"/>
                <w:szCs w:val="22"/>
              </w:rPr>
              <w:t>In progress</w:t>
            </w:r>
          </w:p>
        </w:tc>
      </w:tr>
      <w:tr w:rsidR="00F61F67" w14:paraId="153C68F0" w14:textId="1ADB8FA8" w:rsidTr="08F5E215">
        <w:trPr>
          <w:cnfStyle w:val="000000010000" w:firstRow="0" w:lastRow="0" w:firstColumn="0" w:lastColumn="0" w:oddVBand="0" w:evenVBand="0" w:oddHBand="0" w:evenHBand="1" w:firstRowFirstColumn="0" w:firstRowLastColumn="0" w:lastRowFirstColumn="0" w:lastRowLastColumn="0"/>
          <w:cantSplit w:val="0"/>
        </w:trPr>
        <w:tc>
          <w:tcPr>
            <w:tcW w:w="3480" w:type="dxa"/>
          </w:tcPr>
          <w:p w14:paraId="1ED7AA88" w14:textId="37058DF4" w:rsidR="00F61F67" w:rsidRDefault="00F61F67" w:rsidP="00F61F67">
            <w:pPr>
              <w:pStyle w:val="TableText"/>
            </w:pPr>
            <w:r>
              <w:t xml:space="preserve">Ensuring the information that we produce and provide is </w:t>
            </w:r>
            <w:r>
              <w:lastRenderedPageBreak/>
              <w:t>accessible and in multiple formats</w:t>
            </w:r>
          </w:p>
        </w:tc>
        <w:tc>
          <w:tcPr>
            <w:tcW w:w="1650" w:type="dxa"/>
          </w:tcPr>
          <w:p w14:paraId="26C68D88" w14:textId="41708333" w:rsidR="00F61F67" w:rsidRDefault="00F61F67" w:rsidP="00F61F67">
            <w:pPr>
              <w:pStyle w:val="TableText"/>
            </w:pPr>
            <w:r>
              <w:lastRenderedPageBreak/>
              <w:t>Continuous</w:t>
            </w:r>
          </w:p>
        </w:tc>
        <w:tc>
          <w:tcPr>
            <w:tcW w:w="2550" w:type="dxa"/>
          </w:tcPr>
          <w:p w14:paraId="56C1086F" w14:textId="119D39F9" w:rsidR="00F61F67" w:rsidRDefault="00F61F67" w:rsidP="00F61F67">
            <w:pPr>
              <w:pStyle w:val="TableText"/>
            </w:pPr>
            <w:r>
              <w:t>Comms/</w:t>
            </w:r>
            <w:r>
              <w:br/>
              <w:t>Commission wide</w:t>
            </w:r>
          </w:p>
        </w:tc>
        <w:tc>
          <w:tcPr>
            <w:tcW w:w="1516" w:type="dxa"/>
          </w:tcPr>
          <w:p w14:paraId="462EAE3E" w14:textId="38D5AF74" w:rsidR="00F61F67" w:rsidRDefault="00F61F67" w:rsidP="00F61F67">
            <w:pPr>
              <w:pStyle w:val="TableText"/>
              <w:rPr>
                <w:rFonts w:ascii="Arial" w:hAnsi="Arial"/>
                <w:szCs w:val="22"/>
              </w:rPr>
            </w:pPr>
            <w:r>
              <w:t>Continuous</w:t>
            </w:r>
          </w:p>
        </w:tc>
      </w:tr>
      <w:tr w:rsidR="00F61F67" w14:paraId="0019F118" w14:textId="77777777" w:rsidTr="08F5E215">
        <w:trPr>
          <w:cnfStyle w:val="000000100000" w:firstRow="0" w:lastRow="0" w:firstColumn="0" w:lastColumn="0" w:oddVBand="0" w:evenVBand="0" w:oddHBand="1" w:evenHBand="0" w:firstRowFirstColumn="0" w:firstRowLastColumn="0" w:lastRowFirstColumn="0" w:lastRowLastColumn="0"/>
          <w:cantSplit w:val="0"/>
        </w:trPr>
        <w:tc>
          <w:tcPr>
            <w:tcW w:w="3480" w:type="dxa"/>
          </w:tcPr>
          <w:p w14:paraId="0C65C669" w14:textId="76E97F77" w:rsidR="00F61F67" w:rsidRPr="00415839" w:rsidRDefault="00F61F67" w:rsidP="00F61F67">
            <w:pPr>
              <w:pStyle w:val="TableText"/>
            </w:pPr>
            <w:r>
              <w:t>Ensuring our events and community engagement venues are accessible through venue assessment and consultation</w:t>
            </w:r>
          </w:p>
        </w:tc>
        <w:tc>
          <w:tcPr>
            <w:tcW w:w="1650" w:type="dxa"/>
          </w:tcPr>
          <w:p w14:paraId="377972D3" w14:textId="04FE6E23" w:rsidR="00F61F67" w:rsidRDefault="00F61F67" w:rsidP="00F61F67">
            <w:pPr>
              <w:pStyle w:val="TableText"/>
              <w:rPr>
                <w:rFonts w:ascii="Arial" w:hAnsi="Arial"/>
                <w:szCs w:val="22"/>
              </w:rPr>
            </w:pPr>
            <w:r>
              <w:t>Continuous</w:t>
            </w:r>
          </w:p>
        </w:tc>
        <w:tc>
          <w:tcPr>
            <w:tcW w:w="2550" w:type="dxa"/>
          </w:tcPr>
          <w:p w14:paraId="4936E9D6" w14:textId="761EF0F0" w:rsidR="00F61F67" w:rsidRDefault="00F61F67" w:rsidP="00F61F67">
            <w:pPr>
              <w:pStyle w:val="TableText"/>
            </w:pPr>
            <w:r>
              <w:t>Commission Wide</w:t>
            </w:r>
          </w:p>
        </w:tc>
        <w:tc>
          <w:tcPr>
            <w:tcW w:w="1516" w:type="dxa"/>
          </w:tcPr>
          <w:p w14:paraId="5AB580C5" w14:textId="2E653A6C" w:rsidR="00F61F67" w:rsidRDefault="00F61F67" w:rsidP="00F61F67">
            <w:pPr>
              <w:pStyle w:val="TableText"/>
              <w:rPr>
                <w:rFonts w:ascii="Arial" w:hAnsi="Arial"/>
                <w:szCs w:val="22"/>
              </w:rPr>
            </w:pPr>
            <w:r>
              <w:t>Continuous</w:t>
            </w:r>
          </w:p>
        </w:tc>
      </w:tr>
    </w:tbl>
    <w:p w14:paraId="79D8E79C" w14:textId="58C66FD5" w:rsidR="00773357" w:rsidRDefault="004B4262" w:rsidP="0078204F">
      <w:pPr>
        <w:spacing w:before="240"/>
        <w:rPr>
          <w:rStyle w:val="Emphasis"/>
          <w:b/>
        </w:rPr>
      </w:pPr>
      <w:r w:rsidRPr="004B4262">
        <w:rPr>
          <w:rStyle w:val="Emphasis"/>
          <w:b/>
        </w:rPr>
        <w:t xml:space="preserve">Who will help implement these actions: </w:t>
      </w:r>
    </w:p>
    <w:p w14:paraId="4FBD1A2B" w14:textId="32BA5FD9" w:rsidR="003F7FA3" w:rsidRDefault="003F7FA3" w:rsidP="0078204F">
      <w:pPr>
        <w:spacing w:before="240"/>
        <w:rPr>
          <w:rStyle w:val="Emphasis"/>
        </w:rPr>
      </w:pPr>
      <w:r>
        <w:rPr>
          <w:rStyle w:val="Emphasis"/>
        </w:rPr>
        <w:t>Communications</w:t>
      </w:r>
    </w:p>
    <w:p w14:paraId="32FBE485" w14:textId="5A5ADC36" w:rsidR="003F7FA3" w:rsidRDefault="003F7FA3" w:rsidP="0078204F">
      <w:pPr>
        <w:spacing w:before="240"/>
        <w:rPr>
          <w:rStyle w:val="Emphasis"/>
        </w:rPr>
      </w:pPr>
      <w:r>
        <w:rPr>
          <w:rStyle w:val="Emphasis"/>
        </w:rPr>
        <w:t>Human Resources and Property</w:t>
      </w:r>
    </w:p>
    <w:p w14:paraId="6ABED6DC" w14:textId="1CD31958" w:rsidR="003F7FA3" w:rsidRDefault="003F7FA3" w:rsidP="0078204F">
      <w:pPr>
        <w:spacing w:before="240"/>
        <w:rPr>
          <w:rStyle w:val="Emphasis"/>
        </w:rPr>
      </w:pPr>
      <w:r>
        <w:rPr>
          <w:rStyle w:val="Emphasis"/>
        </w:rPr>
        <w:t>Office of the Executive Director</w:t>
      </w:r>
    </w:p>
    <w:p w14:paraId="697FF5BF" w14:textId="0F7C0FD6" w:rsidR="003F7FA3" w:rsidRDefault="003F7FA3" w:rsidP="0078204F">
      <w:pPr>
        <w:spacing w:before="240"/>
        <w:rPr>
          <w:rStyle w:val="Emphasis"/>
        </w:rPr>
      </w:pPr>
      <w:r>
        <w:rPr>
          <w:rStyle w:val="Emphasis"/>
        </w:rPr>
        <w:t>Operations</w:t>
      </w:r>
      <w:r w:rsidR="0040402F">
        <w:rPr>
          <w:rStyle w:val="Emphasis"/>
        </w:rPr>
        <w:t xml:space="preserve"> – Legal and Investigations</w:t>
      </w:r>
    </w:p>
    <w:p w14:paraId="2578506C" w14:textId="1A362446" w:rsidR="0040402F" w:rsidRDefault="0040402F" w:rsidP="0078204F">
      <w:pPr>
        <w:spacing w:before="240"/>
        <w:rPr>
          <w:rStyle w:val="Emphasis"/>
        </w:rPr>
      </w:pPr>
      <w:r>
        <w:rPr>
          <w:rStyle w:val="Emphasis"/>
        </w:rPr>
        <w:t>Operations</w:t>
      </w:r>
    </w:p>
    <w:p w14:paraId="02EB378F" w14:textId="77777777" w:rsidR="004B4262" w:rsidRDefault="004B4262" w:rsidP="004B4262">
      <w:r>
        <w:br w:type="page"/>
      </w:r>
    </w:p>
    <w:p w14:paraId="0E8900FB" w14:textId="7946C754" w:rsidR="004B4262" w:rsidRPr="00D55390" w:rsidRDefault="00D55390" w:rsidP="00B51863">
      <w:pPr>
        <w:pStyle w:val="Heading1"/>
        <w:rPr>
          <w:caps w:val="0"/>
        </w:rPr>
      </w:pPr>
      <w:bookmarkStart w:id="2" w:name="_Toc466293216"/>
      <w:r>
        <w:rPr>
          <w:caps w:val="0"/>
        </w:rPr>
        <w:lastRenderedPageBreak/>
        <w:tab/>
      </w:r>
      <w:r w:rsidRPr="077FE61A">
        <w:rPr>
          <w:caps w:val="0"/>
        </w:rPr>
        <w:t>O</w:t>
      </w:r>
      <w:r w:rsidR="004B4262" w:rsidRPr="077FE61A">
        <w:rPr>
          <w:caps w:val="0"/>
        </w:rPr>
        <w:t xml:space="preserve">ur </w:t>
      </w:r>
      <w:r w:rsidRPr="077FE61A">
        <w:rPr>
          <w:caps w:val="0"/>
        </w:rPr>
        <w:t>P</w:t>
      </w:r>
      <w:r w:rsidR="00827157" w:rsidRPr="077FE61A">
        <w:rPr>
          <w:caps w:val="0"/>
        </w:rPr>
        <w:t>eople</w:t>
      </w:r>
      <w:bookmarkEnd w:id="2"/>
    </w:p>
    <w:p w14:paraId="2BA1F691" w14:textId="67B33608" w:rsidR="004B4262" w:rsidRDefault="077FE61A" w:rsidP="077FE61A">
      <w:pPr>
        <w:pStyle w:val="Quote"/>
        <w:rPr>
          <w:i/>
          <w:iCs/>
        </w:rPr>
      </w:pPr>
      <w:r w:rsidRPr="077FE61A">
        <w:rPr>
          <w:i/>
          <w:iCs/>
        </w:rPr>
        <w:t>“Diversity and inclusion is important for us here at the Commission, we need to ensure our workforce brings as many perspectives to our mahi as we can.  Accessibility for all our kaimahi is a key element of that and we are committed to making our workplace inclusive to reflect that”</w:t>
      </w:r>
    </w:p>
    <w:p w14:paraId="2EC82B52" w14:textId="7940E5A1" w:rsidR="077FE61A" w:rsidRDefault="077FE61A" w:rsidP="077FE61A">
      <w:pPr>
        <w:rPr>
          <w:i/>
          <w:iCs/>
        </w:rPr>
      </w:pPr>
      <w:r w:rsidRPr="077FE61A">
        <w:rPr>
          <w:i/>
          <w:iCs/>
        </w:rPr>
        <w:t>Karl McDiarmid, Associate Executive Director, Business Support</w:t>
      </w:r>
    </w:p>
    <w:p w14:paraId="6EC97C4C" w14:textId="58DC0BA8" w:rsidR="077FE61A" w:rsidRDefault="077FE61A" w:rsidP="077FE61A">
      <w:pPr>
        <w:rPr>
          <w:rFonts w:ascii="Arial" w:hAnsi="Arial"/>
          <w:szCs w:val="22"/>
        </w:rPr>
      </w:pPr>
    </w:p>
    <w:p w14:paraId="3FADEEAF" w14:textId="25BC17A3" w:rsidR="00D55390" w:rsidRDefault="00D55390" w:rsidP="00D55390">
      <w:r>
        <w:t xml:space="preserve">At </w:t>
      </w:r>
      <w:r w:rsidR="00ED20BC">
        <w:t>the Commission,</w:t>
      </w:r>
      <w:r>
        <w:t xml:space="preserve"> we’re always working towards an inclusive culture, so that our people can thrive, and differences are celebrated. We are committed to the wellbeing of our people and educating them about the importance of considering people’s accessibility needs in everything we do.</w:t>
      </w:r>
    </w:p>
    <w:p w14:paraId="6DDD3EA4" w14:textId="269C3C12" w:rsidR="00D55390" w:rsidRDefault="00D55390" w:rsidP="00D55390">
      <w:pPr>
        <w:pStyle w:val="Heading2"/>
      </w:pPr>
      <w:r>
        <w:t>Our Year Objective</w:t>
      </w:r>
    </w:p>
    <w:p w14:paraId="292AE699" w14:textId="6140389D" w:rsidR="00D55390" w:rsidRPr="00D55390" w:rsidRDefault="00D55390" w:rsidP="00D55390">
      <w:pPr>
        <w:rPr>
          <w:b/>
          <w:bCs/>
        </w:rPr>
      </w:pPr>
      <w:r w:rsidRPr="00D55390">
        <w:rPr>
          <w:b/>
          <w:bCs/>
        </w:rPr>
        <w:t>We will have an inclusive culture through the appreciation of difference.</w:t>
      </w:r>
    </w:p>
    <w:tbl>
      <w:tblPr>
        <w:tblStyle w:val="DefaultTable"/>
        <w:tblW w:w="9196" w:type="dxa"/>
        <w:tblInd w:w="-23" w:type="dxa"/>
        <w:tblLook w:val="0420" w:firstRow="1" w:lastRow="0" w:firstColumn="0" w:lastColumn="0" w:noHBand="0" w:noVBand="1"/>
        <w:tblCaption w:val="Our aim table"/>
        <w:tblDescription w:val="Our aim: Continue making our products, services and buildings accessible for all."/>
      </w:tblPr>
      <w:tblGrid>
        <w:gridCol w:w="4888"/>
        <w:gridCol w:w="1468"/>
        <w:gridCol w:w="1470"/>
        <w:gridCol w:w="1370"/>
      </w:tblGrid>
      <w:tr w:rsidR="00D55390" w14:paraId="12B55016" w14:textId="77777777" w:rsidTr="08F5E215">
        <w:trPr>
          <w:cnfStyle w:val="100000000000" w:firstRow="1" w:lastRow="0" w:firstColumn="0" w:lastColumn="0" w:oddVBand="0" w:evenVBand="0" w:oddHBand="0" w:evenHBand="0" w:firstRowFirstColumn="0" w:firstRowLastColumn="0" w:lastRowFirstColumn="0" w:lastRowLastColumn="0"/>
          <w:cantSplit w:val="0"/>
          <w:tblHeader/>
        </w:trPr>
        <w:tc>
          <w:tcPr>
            <w:tcW w:w="4888" w:type="dxa"/>
          </w:tcPr>
          <w:p w14:paraId="1CFCDE0F" w14:textId="5BDC6D96" w:rsidR="00D55390" w:rsidRDefault="00D87CCC" w:rsidP="00B32989">
            <w:pPr>
              <w:pStyle w:val="TableHeading"/>
            </w:pPr>
            <w:r>
              <w:t>Actions 2021-2022</w:t>
            </w:r>
          </w:p>
        </w:tc>
        <w:tc>
          <w:tcPr>
            <w:tcW w:w="1468" w:type="dxa"/>
          </w:tcPr>
          <w:p w14:paraId="2BDFAA9C" w14:textId="77777777" w:rsidR="00D55390" w:rsidRDefault="00D55390" w:rsidP="00B32989">
            <w:pPr>
              <w:pStyle w:val="TableHeading"/>
              <w:rPr>
                <w:sz w:val="28"/>
                <w:szCs w:val="28"/>
              </w:rPr>
            </w:pPr>
            <w:r w:rsidRPr="4911599D">
              <w:rPr>
                <w:sz w:val="28"/>
                <w:szCs w:val="28"/>
              </w:rPr>
              <w:t>When</w:t>
            </w:r>
          </w:p>
        </w:tc>
        <w:tc>
          <w:tcPr>
            <w:tcW w:w="1470" w:type="dxa"/>
          </w:tcPr>
          <w:p w14:paraId="3EA0EF40" w14:textId="77777777" w:rsidR="00D55390" w:rsidRDefault="00D55390" w:rsidP="00B32989">
            <w:pPr>
              <w:pStyle w:val="TableHeading"/>
              <w:rPr>
                <w:sz w:val="28"/>
                <w:szCs w:val="28"/>
              </w:rPr>
            </w:pPr>
            <w:r w:rsidRPr="4911599D">
              <w:rPr>
                <w:sz w:val="28"/>
                <w:szCs w:val="28"/>
              </w:rPr>
              <w:t>Who</w:t>
            </w:r>
          </w:p>
        </w:tc>
        <w:tc>
          <w:tcPr>
            <w:tcW w:w="1370" w:type="dxa"/>
          </w:tcPr>
          <w:p w14:paraId="3F073627" w14:textId="77777777" w:rsidR="00D55390" w:rsidRDefault="00D55390" w:rsidP="00B32989">
            <w:pPr>
              <w:pStyle w:val="TableHeading"/>
              <w:rPr>
                <w:sz w:val="24"/>
              </w:rPr>
            </w:pPr>
            <w:r w:rsidRPr="4911599D">
              <w:rPr>
                <w:sz w:val="24"/>
              </w:rPr>
              <w:t>Status</w:t>
            </w:r>
          </w:p>
        </w:tc>
      </w:tr>
      <w:tr w:rsidR="001C270F" w14:paraId="01BAC1C4" w14:textId="77777777" w:rsidTr="08F5E215">
        <w:trPr>
          <w:cnfStyle w:val="000000100000" w:firstRow="0" w:lastRow="0" w:firstColumn="0" w:lastColumn="0" w:oddVBand="0" w:evenVBand="0" w:oddHBand="1" w:evenHBand="0" w:firstRowFirstColumn="0" w:firstRowLastColumn="0" w:lastRowFirstColumn="0" w:lastRowLastColumn="0"/>
          <w:cantSplit w:val="0"/>
        </w:trPr>
        <w:tc>
          <w:tcPr>
            <w:tcW w:w="4888" w:type="dxa"/>
          </w:tcPr>
          <w:p w14:paraId="50CE0E45" w14:textId="40DC9843" w:rsidR="001C270F" w:rsidRDefault="001C270F" w:rsidP="001C270F">
            <w:pPr>
              <w:pStyle w:val="TableText"/>
            </w:pPr>
            <w:r>
              <w:t>Appointment of Chief Advisor – Disability for the duration of the Inquiry</w:t>
            </w:r>
          </w:p>
        </w:tc>
        <w:tc>
          <w:tcPr>
            <w:tcW w:w="1468" w:type="dxa"/>
          </w:tcPr>
          <w:p w14:paraId="0C064257" w14:textId="09BEE15A" w:rsidR="001C270F" w:rsidRDefault="001C270F" w:rsidP="001C270F">
            <w:pPr>
              <w:pStyle w:val="TableText"/>
            </w:pPr>
            <w:r>
              <w:t>December 2021</w:t>
            </w:r>
          </w:p>
        </w:tc>
        <w:tc>
          <w:tcPr>
            <w:tcW w:w="1470" w:type="dxa"/>
          </w:tcPr>
          <w:p w14:paraId="672BABD7" w14:textId="49703A1F" w:rsidR="001C270F" w:rsidRDefault="001C270F" w:rsidP="001C270F">
            <w:pPr>
              <w:pStyle w:val="TableText"/>
            </w:pPr>
            <w:r>
              <w:t>HR</w:t>
            </w:r>
          </w:p>
        </w:tc>
        <w:tc>
          <w:tcPr>
            <w:tcW w:w="1370" w:type="dxa"/>
          </w:tcPr>
          <w:p w14:paraId="116C45B4" w14:textId="529FEAD7" w:rsidR="001C270F" w:rsidRDefault="001C270F" w:rsidP="001C270F">
            <w:pPr>
              <w:pStyle w:val="TableText"/>
            </w:pPr>
            <w:r>
              <w:t>Complete</w:t>
            </w:r>
          </w:p>
        </w:tc>
      </w:tr>
      <w:tr w:rsidR="00D55390" w14:paraId="78CA36F7" w14:textId="77777777" w:rsidTr="08F5E215">
        <w:trPr>
          <w:cnfStyle w:val="000000010000" w:firstRow="0" w:lastRow="0" w:firstColumn="0" w:lastColumn="0" w:oddVBand="0" w:evenVBand="0" w:oddHBand="0" w:evenHBand="1" w:firstRowFirstColumn="0" w:firstRowLastColumn="0" w:lastRowFirstColumn="0" w:lastRowLastColumn="0"/>
          <w:cantSplit w:val="0"/>
        </w:trPr>
        <w:tc>
          <w:tcPr>
            <w:tcW w:w="4888" w:type="dxa"/>
          </w:tcPr>
          <w:p w14:paraId="74A83898" w14:textId="0E521806" w:rsidR="00D55390" w:rsidRDefault="00495F1F" w:rsidP="00B32989">
            <w:pPr>
              <w:pStyle w:val="TableText"/>
            </w:pPr>
            <w:r>
              <w:t>Executive Director statement of intent</w:t>
            </w:r>
            <w:r w:rsidR="24D19B83">
              <w:t xml:space="preserve"> for staff</w:t>
            </w:r>
          </w:p>
        </w:tc>
        <w:tc>
          <w:tcPr>
            <w:tcW w:w="1468" w:type="dxa"/>
          </w:tcPr>
          <w:p w14:paraId="7490087E" w14:textId="767D101D" w:rsidR="00D55390" w:rsidRDefault="00495F1F" w:rsidP="00B32989">
            <w:pPr>
              <w:pStyle w:val="TableText"/>
            </w:pPr>
            <w:r>
              <w:t>December 2021</w:t>
            </w:r>
          </w:p>
        </w:tc>
        <w:tc>
          <w:tcPr>
            <w:tcW w:w="1470" w:type="dxa"/>
          </w:tcPr>
          <w:p w14:paraId="54A2C27B" w14:textId="50303D6A" w:rsidR="00D55390" w:rsidRDefault="00495F1F" w:rsidP="00B32989">
            <w:pPr>
              <w:pStyle w:val="TableText"/>
            </w:pPr>
            <w:r>
              <w:t>H&amp;S, ED</w:t>
            </w:r>
          </w:p>
        </w:tc>
        <w:tc>
          <w:tcPr>
            <w:tcW w:w="1370" w:type="dxa"/>
          </w:tcPr>
          <w:p w14:paraId="030BDA81" w14:textId="53B6CD95" w:rsidR="00D55390" w:rsidRDefault="00495F1F" w:rsidP="00B32989">
            <w:pPr>
              <w:pStyle w:val="TableText"/>
            </w:pPr>
            <w:r>
              <w:t>Complete</w:t>
            </w:r>
          </w:p>
        </w:tc>
      </w:tr>
      <w:tr w:rsidR="00D55390" w14:paraId="2DD01339" w14:textId="77777777" w:rsidTr="08F5E215">
        <w:trPr>
          <w:cnfStyle w:val="000000100000" w:firstRow="0" w:lastRow="0" w:firstColumn="0" w:lastColumn="0" w:oddVBand="0" w:evenVBand="0" w:oddHBand="1" w:evenHBand="0" w:firstRowFirstColumn="0" w:firstRowLastColumn="0" w:lastRowFirstColumn="0" w:lastRowLastColumn="0"/>
          <w:cantSplit w:val="0"/>
        </w:trPr>
        <w:tc>
          <w:tcPr>
            <w:tcW w:w="4888" w:type="dxa"/>
          </w:tcPr>
          <w:p w14:paraId="00AB931A" w14:textId="5A59494E" w:rsidR="00D55390" w:rsidRDefault="6B7F4848" w:rsidP="00B32989">
            <w:pPr>
              <w:pStyle w:val="TableText"/>
            </w:pPr>
            <w:r>
              <w:t xml:space="preserve">Amendment of </w:t>
            </w:r>
            <w:r w:rsidR="3C4F8C62">
              <w:t>H</w:t>
            </w:r>
            <w:r>
              <w:t xml:space="preserve">ealth, </w:t>
            </w:r>
            <w:r w:rsidR="3C4F8C62">
              <w:t>S</w:t>
            </w:r>
            <w:r>
              <w:t xml:space="preserve">afety and </w:t>
            </w:r>
            <w:r w:rsidR="3C4F8C62">
              <w:t>W</w:t>
            </w:r>
            <w:r>
              <w:t xml:space="preserve">ellbeing policy to include detail for requesting reasonable accommodations and/or amendments to work </w:t>
            </w:r>
          </w:p>
        </w:tc>
        <w:tc>
          <w:tcPr>
            <w:tcW w:w="1468" w:type="dxa"/>
          </w:tcPr>
          <w:p w14:paraId="5137101B" w14:textId="7C8597CD" w:rsidR="00D55390" w:rsidRDefault="3C4F8C62" w:rsidP="00B32989">
            <w:pPr>
              <w:pStyle w:val="TableText"/>
            </w:pPr>
            <w:r>
              <w:t>April 2022</w:t>
            </w:r>
          </w:p>
        </w:tc>
        <w:tc>
          <w:tcPr>
            <w:tcW w:w="1470" w:type="dxa"/>
          </w:tcPr>
          <w:p w14:paraId="4871B679" w14:textId="48B7226C" w:rsidR="00D55390" w:rsidRDefault="00495F1F" w:rsidP="00B32989">
            <w:pPr>
              <w:pStyle w:val="TableText"/>
            </w:pPr>
            <w:r>
              <w:t>H&amp;S</w:t>
            </w:r>
          </w:p>
        </w:tc>
        <w:tc>
          <w:tcPr>
            <w:tcW w:w="1370" w:type="dxa"/>
          </w:tcPr>
          <w:p w14:paraId="4D721D04" w14:textId="1D6B3F0A" w:rsidR="00D55390" w:rsidRDefault="08F5E215" w:rsidP="08F5E215">
            <w:pPr>
              <w:pStyle w:val="TableText"/>
              <w:rPr>
                <w:rFonts w:ascii="Arial" w:hAnsi="Arial"/>
                <w:szCs w:val="22"/>
              </w:rPr>
            </w:pPr>
            <w:r>
              <w:t>Complete</w:t>
            </w:r>
          </w:p>
        </w:tc>
      </w:tr>
      <w:tr w:rsidR="001C270F" w14:paraId="0E0B24D4" w14:textId="77777777" w:rsidTr="08F5E215">
        <w:trPr>
          <w:cnfStyle w:val="000000010000" w:firstRow="0" w:lastRow="0" w:firstColumn="0" w:lastColumn="0" w:oddVBand="0" w:evenVBand="0" w:oddHBand="0" w:evenHBand="1" w:firstRowFirstColumn="0" w:firstRowLastColumn="0" w:lastRowFirstColumn="0" w:lastRowLastColumn="0"/>
          <w:cantSplit w:val="0"/>
        </w:trPr>
        <w:tc>
          <w:tcPr>
            <w:tcW w:w="4888" w:type="dxa"/>
          </w:tcPr>
          <w:p w14:paraId="2EA850E4" w14:textId="621DAFBB" w:rsidR="001C270F" w:rsidRDefault="001C270F" w:rsidP="001C270F">
            <w:pPr>
              <w:pStyle w:val="TableText"/>
            </w:pPr>
            <w:r>
              <w:t xml:space="preserve">Recruitment – amending policies at the Inquiry to make sure we recruit a diverse range of kaimahi, including tāngata whaikaha, to better serve and represent our communities. </w:t>
            </w:r>
          </w:p>
        </w:tc>
        <w:tc>
          <w:tcPr>
            <w:tcW w:w="1468" w:type="dxa"/>
          </w:tcPr>
          <w:p w14:paraId="0A33FB6C" w14:textId="27EB79AB" w:rsidR="001C270F" w:rsidRDefault="001C270F" w:rsidP="001C270F">
            <w:pPr>
              <w:pStyle w:val="TableText"/>
            </w:pPr>
            <w:r>
              <w:t>April 2022</w:t>
            </w:r>
          </w:p>
        </w:tc>
        <w:tc>
          <w:tcPr>
            <w:tcW w:w="1470" w:type="dxa"/>
          </w:tcPr>
          <w:p w14:paraId="07410CE2" w14:textId="0FA75BB5" w:rsidR="001C270F" w:rsidRDefault="001C270F" w:rsidP="001C270F">
            <w:pPr>
              <w:pStyle w:val="TableText"/>
            </w:pPr>
            <w:r>
              <w:t>HR, recruitment</w:t>
            </w:r>
          </w:p>
        </w:tc>
        <w:tc>
          <w:tcPr>
            <w:tcW w:w="1370" w:type="dxa"/>
          </w:tcPr>
          <w:p w14:paraId="6597DD21" w14:textId="2275E647" w:rsidR="001C270F" w:rsidRDefault="001C270F" w:rsidP="001C270F">
            <w:pPr>
              <w:pStyle w:val="TableText"/>
            </w:pPr>
            <w:r>
              <w:t>In progress</w:t>
            </w:r>
          </w:p>
        </w:tc>
      </w:tr>
      <w:tr w:rsidR="00D55390" w14:paraId="146593D0" w14:textId="77777777" w:rsidTr="08F5E215">
        <w:trPr>
          <w:cnfStyle w:val="000000100000" w:firstRow="0" w:lastRow="0" w:firstColumn="0" w:lastColumn="0" w:oddVBand="0" w:evenVBand="0" w:oddHBand="1" w:evenHBand="0" w:firstRowFirstColumn="0" w:firstRowLastColumn="0" w:lastRowFirstColumn="0" w:lastRowLastColumn="0"/>
          <w:cantSplit w:val="0"/>
        </w:trPr>
        <w:tc>
          <w:tcPr>
            <w:tcW w:w="4888" w:type="dxa"/>
          </w:tcPr>
          <w:p w14:paraId="227E3359" w14:textId="05820F65" w:rsidR="00D55390" w:rsidRDefault="00495F1F" w:rsidP="00B32989">
            <w:pPr>
              <w:pStyle w:val="TableText"/>
              <w:rPr>
                <w:highlight w:val="yellow"/>
              </w:rPr>
            </w:pPr>
            <w:r>
              <w:t xml:space="preserve">Training for staff – inclusive customer services training &amp; sighted guiding </w:t>
            </w:r>
          </w:p>
        </w:tc>
        <w:tc>
          <w:tcPr>
            <w:tcW w:w="1468" w:type="dxa"/>
          </w:tcPr>
          <w:p w14:paraId="5E84954D" w14:textId="481687BB" w:rsidR="00D55390" w:rsidRDefault="6B7F4848" w:rsidP="00B32989">
            <w:pPr>
              <w:pStyle w:val="TableText"/>
            </w:pPr>
            <w:r>
              <w:t>November 2021</w:t>
            </w:r>
            <w:r w:rsidR="002108BC">
              <w:t xml:space="preserve"> &amp; </w:t>
            </w:r>
            <w:r w:rsidR="308AC3DE">
              <w:t xml:space="preserve">June </w:t>
            </w:r>
            <w:r w:rsidR="002108BC">
              <w:t>2022</w:t>
            </w:r>
          </w:p>
        </w:tc>
        <w:tc>
          <w:tcPr>
            <w:tcW w:w="1470" w:type="dxa"/>
          </w:tcPr>
          <w:p w14:paraId="1F609F1D" w14:textId="6E75FCF2" w:rsidR="00D55390" w:rsidRDefault="002108BC" w:rsidP="00B32989">
            <w:pPr>
              <w:pStyle w:val="TableText"/>
            </w:pPr>
            <w:r>
              <w:t>H&amp;S</w:t>
            </w:r>
          </w:p>
        </w:tc>
        <w:tc>
          <w:tcPr>
            <w:tcW w:w="1370" w:type="dxa"/>
          </w:tcPr>
          <w:p w14:paraId="58C4E3D7" w14:textId="18BFD4DE" w:rsidR="00D55390" w:rsidRDefault="002108BC" w:rsidP="00B32989">
            <w:pPr>
              <w:pStyle w:val="TableText"/>
            </w:pPr>
            <w:r>
              <w:t>In progress and ongoing</w:t>
            </w:r>
          </w:p>
        </w:tc>
      </w:tr>
      <w:tr w:rsidR="00D55390" w14:paraId="1D0B95FD" w14:textId="77777777" w:rsidTr="08F5E215">
        <w:trPr>
          <w:cnfStyle w:val="000000010000" w:firstRow="0" w:lastRow="0" w:firstColumn="0" w:lastColumn="0" w:oddVBand="0" w:evenVBand="0" w:oddHBand="0" w:evenHBand="1" w:firstRowFirstColumn="0" w:firstRowLastColumn="0" w:lastRowFirstColumn="0" w:lastRowLastColumn="0"/>
          <w:cantSplit w:val="0"/>
        </w:trPr>
        <w:tc>
          <w:tcPr>
            <w:tcW w:w="4888" w:type="dxa"/>
          </w:tcPr>
          <w:p w14:paraId="5D7CDE46" w14:textId="1E40D034" w:rsidR="00D55390" w:rsidRDefault="17C3E5C2" w:rsidP="00B32989">
            <w:pPr>
              <w:pStyle w:val="TableText"/>
            </w:pPr>
            <w:r>
              <w:t>Creation of wider diversity and inclusion policy, that specifically calls out measures to support tāngata whaika</w:t>
            </w:r>
          </w:p>
        </w:tc>
        <w:tc>
          <w:tcPr>
            <w:tcW w:w="1468" w:type="dxa"/>
          </w:tcPr>
          <w:p w14:paraId="326035A0" w14:textId="599B87D0" w:rsidR="00D55390" w:rsidRDefault="17C3E5C2" w:rsidP="00B32989">
            <w:pPr>
              <w:pStyle w:val="TableText"/>
            </w:pPr>
            <w:r>
              <w:t>June</w:t>
            </w:r>
          </w:p>
          <w:p w14:paraId="1A68091C" w14:textId="03C8C33F" w:rsidR="00D55390" w:rsidRDefault="17C3E5C2" w:rsidP="00B32989">
            <w:pPr>
              <w:pStyle w:val="TableText"/>
            </w:pPr>
            <w:r>
              <w:t>2022</w:t>
            </w:r>
          </w:p>
        </w:tc>
        <w:tc>
          <w:tcPr>
            <w:tcW w:w="1470" w:type="dxa"/>
          </w:tcPr>
          <w:p w14:paraId="24323D4F" w14:textId="36A5B457" w:rsidR="00D55390" w:rsidRDefault="5FB0E4E2" w:rsidP="00B32989">
            <w:pPr>
              <w:pStyle w:val="TableText"/>
            </w:pPr>
            <w:r>
              <w:t>Chief Advisor – Disability</w:t>
            </w:r>
            <w:r w:rsidR="22299F00">
              <w:t xml:space="preserve"> / HR</w:t>
            </w:r>
          </w:p>
        </w:tc>
        <w:tc>
          <w:tcPr>
            <w:tcW w:w="1370" w:type="dxa"/>
          </w:tcPr>
          <w:p w14:paraId="3666B3C6" w14:textId="0C35739F" w:rsidR="00D55390" w:rsidRDefault="5FB0E4E2" w:rsidP="00B32989">
            <w:pPr>
              <w:pStyle w:val="TableText"/>
            </w:pPr>
            <w:r>
              <w:t>Not started</w:t>
            </w:r>
          </w:p>
        </w:tc>
      </w:tr>
    </w:tbl>
    <w:p w14:paraId="0DDC24B1" w14:textId="1B9BE79E" w:rsidR="004B4262" w:rsidRDefault="004B4262" w:rsidP="0078204F">
      <w:pPr>
        <w:spacing w:before="240"/>
        <w:rPr>
          <w:rStyle w:val="Emphasis"/>
        </w:rPr>
      </w:pPr>
      <w:r w:rsidRPr="004B4262">
        <w:rPr>
          <w:rStyle w:val="Emphasis"/>
          <w:b/>
        </w:rPr>
        <w:lastRenderedPageBreak/>
        <w:t>Who will help implement these actions:</w:t>
      </w:r>
      <w:r w:rsidRPr="004B4262">
        <w:rPr>
          <w:rStyle w:val="Emphasis"/>
        </w:rPr>
        <w:t xml:space="preserve"> </w:t>
      </w:r>
    </w:p>
    <w:p w14:paraId="0AABC039" w14:textId="1838517F" w:rsidR="000201BF" w:rsidRDefault="000201BF" w:rsidP="0078204F">
      <w:pPr>
        <w:spacing w:before="240"/>
        <w:rPr>
          <w:rStyle w:val="Emphasis"/>
        </w:rPr>
      </w:pPr>
      <w:r>
        <w:rPr>
          <w:rStyle w:val="Emphasis"/>
        </w:rPr>
        <w:t>Human Resources and Property</w:t>
      </w:r>
    </w:p>
    <w:p w14:paraId="439B3BB8" w14:textId="4FCCA9D2" w:rsidR="000201BF" w:rsidRDefault="004640B2" w:rsidP="0078204F">
      <w:pPr>
        <w:spacing w:before="240"/>
        <w:rPr>
          <w:rStyle w:val="Emphasis"/>
        </w:rPr>
      </w:pPr>
      <w:r>
        <w:rPr>
          <w:rStyle w:val="Emphasis"/>
        </w:rPr>
        <w:t xml:space="preserve">Operations </w:t>
      </w:r>
    </w:p>
    <w:p w14:paraId="5A39BBE3" w14:textId="70FA16C1" w:rsidR="00555823" w:rsidRPr="0081247F" w:rsidRDefault="00B2091D" w:rsidP="0081247F">
      <w:pPr>
        <w:spacing w:before="240"/>
        <w:rPr>
          <w:rFonts w:ascii="Arial" w:hAnsi="Arial"/>
          <w:i/>
          <w:iCs/>
        </w:rPr>
      </w:pPr>
      <w:r>
        <w:rPr>
          <w:rStyle w:val="Emphasis"/>
        </w:rPr>
        <w:t>Office of the Executive Director</w:t>
      </w:r>
    </w:p>
    <w:p w14:paraId="03EA7238" w14:textId="0651B01A" w:rsidR="00555823" w:rsidRPr="00C1771B" w:rsidRDefault="00B51863" w:rsidP="00B51863">
      <w:pPr>
        <w:pStyle w:val="Heading1"/>
      </w:pPr>
      <w:bookmarkStart w:id="3" w:name="_Toc466293218"/>
      <w:r>
        <w:tab/>
      </w:r>
      <w:r w:rsidR="00D55390">
        <w:rPr>
          <w:caps w:val="0"/>
        </w:rPr>
        <w:t>Feedback</w:t>
      </w:r>
      <w:bookmarkEnd w:id="3"/>
    </w:p>
    <w:p w14:paraId="6A91F0B5" w14:textId="3E11B0EF" w:rsidR="00555823" w:rsidRDefault="00555823" w:rsidP="00555823">
      <w:r>
        <w:t>If you have feedback or suggestions about this plan, you can:</w:t>
      </w:r>
    </w:p>
    <w:p w14:paraId="1BBFBC60" w14:textId="75877BEE" w:rsidR="00EB4596" w:rsidRDefault="00555823" w:rsidP="00EB4845">
      <w:pPr>
        <w:pStyle w:val="ListBullet"/>
      </w:pPr>
      <w:r w:rsidRPr="00C1771B">
        <w:rPr>
          <w:rStyle w:val="Strong"/>
        </w:rPr>
        <w:t>Email us</w:t>
      </w:r>
      <w:r w:rsidRPr="00C1771B">
        <w:t xml:space="preserve"> at </w:t>
      </w:r>
      <w:r w:rsidR="0081247F">
        <w:t>contact@abuseincare.org.nz</w:t>
      </w:r>
    </w:p>
    <w:p w14:paraId="52A17968" w14:textId="50C6F07B" w:rsidR="00555823" w:rsidRDefault="00555823" w:rsidP="00EB4596">
      <w:pPr>
        <w:pStyle w:val="ListBullet"/>
      </w:pPr>
      <w:r w:rsidRPr="00C1771B">
        <w:rPr>
          <w:rStyle w:val="Strong"/>
        </w:rPr>
        <w:t>Phone us</w:t>
      </w:r>
      <w:r w:rsidRPr="00C1771B">
        <w:t xml:space="preserve"> on </w:t>
      </w:r>
      <w:r w:rsidR="0081247F">
        <w:t xml:space="preserve">0800 </w:t>
      </w:r>
      <w:r w:rsidR="00A61716">
        <w:t>222 727</w:t>
      </w:r>
    </w:p>
    <w:p w14:paraId="5047195B" w14:textId="496A3CB1" w:rsidR="00EB4596" w:rsidRDefault="00555823" w:rsidP="008B1E7E">
      <w:pPr>
        <w:pStyle w:val="ListBullet"/>
      </w:pPr>
      <w:r w:rsidRPr="00555823">
        <w:rPr>
          <w:rStyle w:val="Strong"/>
        </w:rPr>
        <w:t>Write to us at</w:t>
      </w:r>
      <w:r>
        <w:t xml:space="preserve"> </w:t>
      </w:r>
    </w:p>
    <w:p w14:paraId="45B155D3" w14:textId="77777777" w:rsidR="00267B1C" w:rsidRDefault="00267B1C" w:rsidP="00267B1C">
      <w:pPr>
        <w:pStyle w:val="ListBullet"/>
        <w:numPr>
          <w:ilvl w:val="0"/>
          <w:numId w:val="0"/>
        </w:numPr>
      </w:pPr>
      <w:r>
        <w:t>Royal Commission of Inquiry</w:t>
      </w:r>
    </w:p>
    <w:p w14:paraId="3F364B8E" w14:textId="77777777" w:rsidR="00267B1C" w:rsidRDefault="00267B1C" w:rsidP="00267B1C">
      <w:pPr>
        <w:pStyle w:val="ListBullet"/>
        <w:numPr>
          <w:ilvl w:val="0"/>
          <w:numId w:val="0"/>
        </w:numPr>
        <w:ind w:left="357" w:hanging="357"/>
      </w:pPr>
      <w:r>
        <w:t>PO Box 10071</w:t>
      </w:r>
    </w:p>
    <w:p w14:paraId="20FD6081" w14:textId="77777777" w:rsidR="00267B1C" w:rsidRDefault="00267B1C" w:rsidP="00267B1C">
      <w:pPr>
        <w:pStyle w:val="ListBullet"/>
        <w:numPr>
          <w:ilvl w:val="0"/>
          <w:numId w:val="0"/>
        </w:numPr>
        <w:ind w:left="357" w:hanging="357"/>
      </w:pPr>
      <w:r>
        <w:t>Wellington 6140</w:t>
      </w:r>
    </w:p>
    <w:p w14:paraId="0BA72F37" w14:textId="336BE724" w:rsidR="00267B1C" w:rsidRDefault="00267B1C" w:rsidP="00267B1C">
      <w:pPr>
        <w:pStyle w:val="ListBullet"/>
        <w:numPr>
          <w:ilvl w:val="0"/>
          <w:numId w:val="0"/>
        </w:numPr>
        <w:ind w:left="357" w:hanging="357"/>
      </w:pPr>
      <w:r>
        <w:t>New Zealand</w:t>
      </w:r>
    </w:p>
    <w:p w14:paraId="5CD5A070" w14:textId="77777777" w:rsidR="00555823" w:rsidRPr="00C1771B" w:rsidRDefault="00555823" w:rsidP="00C1771B">
      <w:pPr>
        <w:pStyle w:val="Heading2"/>
      </w:pPr>
      <w:r w:rsidRPr="00C1771B">
        <w:t>Alternative Access Formats</w:t>
      </w:r>
    </w:p>
    <w:p w14:paraId="1CB6AE45" w14:textId="35A44C94" w:rsidR="00C1771B" w:rsidRDefault="00C1771B" w:rsidP="00C1771B">
      <w:r>
        <w:t xml:space="preserve">Our Accessibility Action Plan </w:t>
      </w:r>
      <w:r w:rsidR="00D55390">
        <w:t xml:space="preserve">2021 to 2022 </w:t>
      </w:r>
      <w:r>
        <w:t>is available on our website</w:t>
      </w:r>
      <w:r w:rsidR="00EB4596">
        <w:t xml:space="preserve">: </w:t>
      </w:r>
      <w:r w:rsidR="002D03B2">
        <w:t>www.abuseincare.org.nz.</w:t>
      </w:r>
    </w:p>
    <w:p w14:paraId="616BBE9B" w14:textId="77777777" w:rsidR="00416A01" w:rsidRDefault="00C1771B" w:rsidP="00C1771B">
      <w:r>
        <w:t>If you would like to be provided with the plan in an alternative format, please make contact with us via phone or email</w:t>
      </w:r>
      <w:r w:rsidR="00B77B95">
        <w:t>.</w:t>
      </w:r>
      <w:r>
        <w:t xml:space="preserve"> </w:t>
      </w:r>
    </w:p>
    <w:sectPr w:rsidR="00416A01" w:rsidSect="00061AD3">
      <w:headerReference w:type="default" r:id="rId18"/>
      <w:footerReference w:type="default" r:id="rId19"/>
      <w:pgSz w:w="11906" w:h="16838" w:code="9"/>
      <w:pgMar w:top="1418" w:right="1418"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DB2A9" w14:textId="77777777" w:rsidR="00420F0E" w:rsidRDefault="00420F0E">
      <w:r>
        <w:separator/>
      </w:r>
    </w:p>
    <w:p w14:paraId="4C4BEDC9" w14:textId="77777777" w:rsidR="00420F0E" w:rsidRDefault="00420F0E"/>
    <w:p w14:paraId="17EE238B" w14:textId="77777777" w:rsidR="00420F0E" w:rsidRDefault="00420F0E"/>
  </w:endnote>
  <w:endnote w:type="continuationSeparator" w:id="0">
    <w:p w14:paraId="2AFD9CCE" w14:textId="77777777" w:rsidR="00420F0E" w:rsidRDefault="00420F0E">
      <w:r>
        <w:continuationSeparator/>
      </w:r>
    </w:p>
    <w:p w14:paraId="5E7564C0" w14:textId="77777777" w:rsidR="00420F0E" w:rsidRDefault="00420F0E"/>
    <w:p w14:paraId="58A6F264" w14:textId="77777777" w:rsidR="00420F0E" w:rsidRDefault="00420F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03059" w14:textId="77777777" w:rsidR="002D03B2" w:rsidRDefault="002D03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7FEBC" w14:textId="77777777" w:rsidR="002D03B2" w:rsidRDefault="002D03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6AB69" w14:textId="77777777" w:rsidR="002D03B2" w:rsidRDefault="002D03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0818" w14:textId="77777777" w:rsidR="00C31BC3" w:rsidRDefault="00C31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F0525" w14:textId="77777777" w:rsidR="00420F0E" w:rsidRPr="000E7009" w:rsidRDefault="00420F0E" w:rsidP="00C945CC">
      <w:pPr>
        <w:spacing w:after="60"/>
        <w:rPr>
          <w:rFonts w:ascii="Arial Bold" w:hAnsi="Arial Bold"/>
          <w:b/>
          <w:sz w:val="16"/>
        </w:rPr>
      </w:pPr>
      <w:r w:rsidRPr="000E7009">
        <w:rPr>
          <w:rFonts w:ascii="Arial Bold" w:hAnsi="Arial Bold"/>
          <w:b/>
          <w:sz w:val="16"/>
        </w:rPr>
        <w:separator/>
      </w:r>
    </w:p>
  </w:footnote>
  <w:footnote w:type="continuationSeparator" w:id="0">
    <w:p w14:paraId="2652A379" w14:textId="77777777" w:rsidR="00420F0E" w:rsidRPr="00C945CC" w:rsidRDefault="00420F0E" w:rsidP="00C945CC">
      <w:pPr>
        <w:spacing w:after="60"/>
        <w:rPr>
          <w:rFonts w:ascii="Arial Bold" w:hAnsi="Arial Bold"/>
          <w:b/>
          <w:color w:val="BFBFBF" w:themeColor="background1" w:themeShade="BF"/>
          <w:sz w:val="16"/>
        </w:rPr>
      </w:pPr>
      <w:r w:rsidRPr="00801D20">
        <w:rPr>
          <w:rFonts w:ascii="Arial Bold" w:hAnsi="Arial Bold"/>
          <w:b/>
          <w:color w:val="BFBFBF" w:themeColor="background1" w:themeShade="BF"/>
          <w:sz w:val="16"/>
        </w:rPr>
        <w:separator/>
      </w:r>
    </w:p>
    <w:p w14:paraId="4B56229C" w14:textId="77777777" w:rsidR="00420F0E" w:rsidRDefault="00420F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1647E" w14:textId="77777777" w:rsidR="002D03B2" w:rsidRDefault="002D03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C37E" w14:textId="77777777" w:rsidR="00C31BC3" w:rsidRDefault="00C31BC3" w:rsidP="00182E98">
    <w:pPr>
      <w:pStyle w:val="Header"/>
    </w:pPr>
    <w:r w:rsidRPr="004D5E70">
      <w:t>Accessibility Action Plan 2015-2016</w:t>
    </w:r>
    <w:r>
      <w:ptab w:relativeTo="margin" w:alignment="right" w:leader="none"/>
    </w:r>
    <w:r w:rsidRPr="002F3E1C">
      <w:rPr>
        <w:b w:val="0"/>
        <w:sz w:val="18"/>
        <w:szCs w:val="18"/>
      </w:rPr>
      <w:fldChar w:fldCharType="begin"/>
    </w:r>
    <w:r w:rsidRPr="002F3E1C">
      <w:rPr>
        <w:b w:val="0"/>
        <w:sz w:val="18"/>
        <w:szCs w:val="18"/>
      </w:rPr>
      <w:instrText xml:space="preserve"> PAGE   \* MERGEFORMAT </w:instrText>
    </w:r>
    <w:r w:rsidRPr="002F3E1C">
      <w:rPr>
        <w:b w:val="0"/>
        <w:sz w:val="18"/>
        <w:szCs w:val="18"/>
      </w:rPr>
      <w:fldChar w:fldCharType="separate"/>
    </w:r>
    <w:r w:rsidR="00EE4AF9">
      <w:rPr>
        <w:b w:val="0"/>
        <w:noProof/>
        <w:sz w:val="18"/>
        <w:szCs w:val="18"/>
      </w:rPr>
      <w:t>2</w:t>
    </w:r>
    <w:r w:rsidRPr="002F3E1C">
      <w:rPr>
        <w:b w:val="0"/>
        <w:noProof/>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77777777" w:rsidR="00C31BC3" w:rsidRPr="006C0A4F" w:rsidRDefault="00C31BC3" w:rsidP="006C0A4F">
    <w:pPr>
      <w:spacing w:before="0"/>
      <w:rPr>
        <w:sz w:val="12"/>
        <w:szCs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F1B7E" w14:textId="67FD4108" w:rsidR="00C31BC3" w:rsidRDefault="00892F4C" w:rsidP="00182E98">
    <w:pPr>
      <w:pStyle w:val="Header"/>
    </w:pPr>
    <w:r>
      <w:t xml:space="preserve">Accessibility Action Plan </w:t>
    </w:r>
    <w:r w:rsidR="00D87CCC">
      <w:t>2021</w:t>
    </w:r>
    <w:r w:rsidR="00D55390">
      <w:t>-202</w:t>
    </w:r>
    <w:r w:rsidR="00D87CCC">
      <w:t>2</w:t>
    </w:r>
    <w:r w:rsidR="00C31BC3">
      <w:ptab w:relativeTo="margin" w:alignment="right" w:leader="none"/>
    </w:r>
    <w:r w:rsidR="00C31BC3" w:rsidRPr="00F94EED">
      <w:fldChar w:fldCharType="begin"/>
    </w:r>
    <w:r w:rsidR="00C31BC3" w:rsidRPr="00F94EED">
      <w:instrText xml:space="preserve"> PAGE   \* MERGEFORMAT </w:instrText>
    </w:r>
    <w:r w:rsidR="00C31BC3" w:rsidRPr="00F94EED">
      <w:fldChar w:fldCharType="separate"/>
    </w:r>
    <w:r w:rsidR="00B77B95">
      <w:rPr>
        <w:noProof/>
      </w:rPr>
      <w:t>2</w:t>
    </w:r>
    <w:r w:rsidR="00C31BC3" w:rsidRPr="00F94EED">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D43F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68A2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F54FE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62E4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D869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4871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5CE1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2E64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A636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7416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A74C9"/>
    <w:multiLevelType w:val="hybridMultilevel"/>
    <w:tmpl w:val="3780A714"/>
    <w:lvl w:ilvl="0" w:tplc="2C2056E8">
      <w:start w:val="1"/>
      <w:numFmt w:val="lowerRoman"/>
      <w:lvlText w:val="%1."/>
      <w:lvlJc w:val="left"/>
      <w:pPr>
        <w:ind w:left="360" w:hanging="360"/>
      </w:pPr>
      <w:rPr>
        <w:rFonts w:hint="default"/>
      </w:rPr>
    </w:lvl>
    <w:lvl w:ilvl="1" w:tplc="54F0D668" w:tentative="1">
      <w:start w:val="1"/>
      <w:numFmt w:val="lowerLetter"/>
      <w:lvlText w:val="%2."/>
      <w:lvlJc w:val="left"/>
      <w:pPr>
        <w:ind w:left="1080" w:hanging="360"/>
      </w:pPr>
    </w:lvl>
    <w:lvl w:ilvl="2" w:tplc="07B273D0" w:tentative="1">
      <w:start w:val="1"/>
      <w:numFmt w:val="lowerRoman"/>
      <w:lvlText w:val="%3."/>
      <w:lvlJc w:val="right"/>
      <w:pPr>
        <w:ind w:left="1800" w:hanging="180"/>
      </w:pPr>
    </w:lvl>
    <w:lvl w:ilvl="3" w:tplc="82AA3046" w:tentative="1">
      <w:start w:val="1"/>
      <w:numFmt w:val="decimal"/>
      <w:lvlText w:val="%4."/>
      <w:lvlJc w:val="left"/>
      <w:pPr>
        <w:ind w:left="2520" w:hanging="360"/>
      </w:pPr>
    </w:lvl>
    <w:lvl w:ilvl="4" w:tplc="451EE966" w:tentative="1">
      <w:start w:val="1"/>
      <w:numFmt w:val="lowerLetter"/>
      <w:lvlText w:val="%5."/>
      <w:lvlJc w:val="left"/>
      <w:pPr>
        <w:ind w:left="3240" w:hanging="360"/>
      </w:pPr>
    </w:lvl>
    <w:lvl w:ilvl="5" w:tplc="8E9A51DA" w:tentative="1">
      <w:start w:val="1"/>
      <w:numFmt w:val="lowerRoman"/>
      <w:lvlText w:val="%6."/>
      <w:lvlJc w:val="right"/>
      <w:pPr>
        <w:ind w:left="3960" w:hanging="180"/>
      </w:pPr>
    </w:lvl>
    <w:lvl w:ilvl="6" w:tplc="872E866E" w:tentative="1">
      <w:start w:val="1"/>
      <w:numFmt w:val="decimal"/>
      <w:lvlText w:val="%7."/>
      <w:lvlJc w:val="left"/>
      <w:pPr>
        <w:ind w:left="4680" w:hanging="360"/>
      </w:pPr>
    </w:lvl>
    <w:lvl w:ilvl="7" w:tplc="8D825A0E" w:tentative="1">
      <w:start w:val="1"/>
      <w:numFmt w:val="lowerLetter"/>
      <w:lvlText w:val="%8."/>
      <w:lvlJc w:val="left"/>
      <w:pPr>
        <w:ind w:left="5400" w:hanging="360"/>
      </w:pPr>
    </w:lvl>
    <w:lvl w:ilvl="8" w:tplc="43242598" w:tentative="1">
      <w:start w:val="1"/>
      <w:numFmt w:val="lowerRoman"/>
      <w:lvlText w:val="%9."/>
      <w:lvlJc w:val="right"/>
      <w:pPr>
        <w:ind w:left="6120" w:hanging="180"/>
      </w:pPr>
    </w:lvl>
  </w:abstractNum>
  <w:abstractNum w:abstractNumId="11" w15:restartNumberingAfterBreak="0">
    <w:nsid w:val="12335D60"/>
    <w:multiLevelType w:val="hybridMultilevel"/>
    <w:tmpl w:val="CA468B3C"/>
    <w:lvl w:ilvl="0" w:tplc="C20CCDB2">
      <w:start w:val="1"/>
      <w:numFmt w:val="bullet"/>
      <w:lvlText w:val="–"/>
      <w:lvlJc w:val="left"/>
      <w:pPr>
        <w:ind w:left="720" w:hanging="360"/>
      </w:pPr>
      <w:rPr>
        <w:rFonts w:ascii="Arial" w:hAnsi="Aria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2" w15:restartNumberingAfterBreak="0">
    <w:nsid w:val="173339D2"/>
    <w:multiLevelType w:val="hybridMultilevel"/>
    <w:tmpl w:val="C61E1800"/>
    <w:lvl w:ilvl="0" w:tplc="27B6E24C">
      <w:start w:val="1"/>
      <w:numFmt w:val="decimal"/>
      <w:lvlText w:val="%1."/>
      <w:lvlJc w:val="left"/>
      <w:pPr>
        <w:ind w:left="1074" w:hanging="360"/>
      </w:pPr>
    </w:lvl>
    <w:lvl w:ilvl="1" w:tplc="0C090003" w:tentative="1">
      <w:start w:val="1"/>
      <w:numFmt w:val="lowerLetter"/>
      <w:lvlText w:val="%2."/>
      <w:lvlJc w:val="left"/>
      <w:pPr>
        <w:ind w:left="1794" w:hanging="360"/>
      </w:pPr>
    </w:lvl>
    <w:lvl w:ilvl="2" w:tplc="0C090005" w:tentative="1">
      <w:start w:val="1"/>
      <w:numFmt w:val="lowerRoman"/>
      <w:lvlText w:val="%3."/>
      <w:lvlJc w:val="right"/>
      <w:pPr>
        <w:ind w:left="2514" w:hanging="180"/>
      </w:pPr>
    </w:lvl>
    <w:lvl w:ilvl="3" w:tplc="0C090001" w:tentative="1">
      <w:start w:val="1"/>
      <w:numFmt w:val="decimal"/>
      <w:lvlText w:val="%4."/>
      <w:lvlJc w:val="left"/>
      <w:pPr>
        <w:ind w:left="3234" w:hanging="360"/>
      </w:pPr>
    </w:lvl>
    <w:lvl w:ilvl="4" w:tplc="0C090003" w:tentative="1">
      <w:start w:val="1"/>
      <w:numFmt w:val="lowerLetter"/>
      <w:lvlText w:val="%5."/>
      <w:lvlJc w:val="left"/>
      <w:pPr>
        <w:ind w:left="3954" w:hanging="360"/>
      </w:pPr>
    </w:lvl>
    <w:lvl w:ilvl="5" w:tplc="0C090005" w:tentative="1">
      <w:start w:val="1"/>
      <w:numFmt w:val="lowerRoman"/>
      <w:lvlText w:val="%6."/>
      <w:lvlJc w:val="right"/>
      <w:pPr>
        <w:ind w:left="4674" w:hanging="180"/>
      </w:pPr>
    </w:lvl>
    <w:lvl w:ilvl="6" w:tplc="0C090001" w:tentative="1">
      <w:start w:val="1"/>
      <w:numFmt w:val="decimal"/>
      <w:lvlText w:val="%7."/>
      <w:lvlJc w:val="left"/>
      <w:pPr>
        <w:ind w:left="5394" w:hanging="360"/>
      </w:pPr>
    </w:lvl>
    <w:lvl w:ilvl="7" w:tplc="0C090003" w:tentative="1">
      <w:start w:val="1"/>
      <w:numFmt w:val="lowerLetter"/>
      <w:lvlText w:val="%8."/>
      <w:lvlJc w:val="left"/>
      <w:pPr>
        <w:ind w:left="6114" w:hanging="360"/>
      </w:pPr>
    </w:lvl>
    <w:lvl w:ilvl="8" w:tplc="0C090005" w:tentative="1">
      <w:start w:val="1"/>
      <w:numFmt w:val="lowerRoman"/>
      <w:lvlText w:val="%9."/>
      <w:lvlJc w:val="right"/>
      <w:pPr>
        <w:ind w:left="6834" w:hanging="180"/>
      </w:pPr>
    </w:lvl>
  </w:abstractNum>
  <w:abstractNum w:abstractNumId="13" w15:restartNumberingAfterBreak="0">
    <w:nsid w:val="1EFE2B34"/>
    <w:multiLevelType w:val="hybridMultilevel"/>
    <w:tmpl w:val="4D869048"/>
    <w:lvl w:ilvl="0" w:tplc="0C09000F">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F4676DB"/>
    <w:multiLevelType w:val="hybridMultilevel"/>
    <w:tmpl w:val="090C67A4"/>
    <w:lvl w:ilvl="0" w:tplc="0C090017">
      <w:start w:val="1"/>
      <w:numFmt w:val="bullet"/>
      <w:lvlText w:val="‐"/>
      <w:lvlJc w:val="left"/>
      <w:pPr>
        <w:ind w:left="720" w:hanging="360"/>
      </w:pPr>
      <w:rPr>
        <w:rFonts w:ascii="Calibri" w:hAnsi="Calibri"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5" w15:restartNumberingAfterBreak="0">
    <w:nsid w:val="21C64F54"/>
    <w:multiLevelType w:val="multilevel"/>
    <w:tmpl w:val="0A826EE6"/>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20" w:hanging="360"/>
      </w:pPr>
      <w:rPr>
        <w:rFonts w:ascii="Calibri" w:hAnsi="Calibri" w:hint="default"/>
      </w:rPr>
    </w:lvl>
    <w:lvl w:ilvl="2">
      <w:start w:val="1"/>
      <w:numFmt w:val="bullet"/>
      <w:lvlText w:val="‐"/>
      <w:lvlJc w:val="left"/>
      <w:pPr>
        <w:ind w:left="1080" w:hanging="360"/>
      </w:pPr>
      <w:rPr>
        <w:rFonts w:ascii="Calibri" w:hAnsi="Calibri" w:hint="default"/>
      </w:rPr>
    </w:lvl>
    <w:lvl w:ilvl="3">
      <w:start w:val="1"/>
      <w:numFmt w:val="bullet"/>
      <w:lvlText w:val="‐"/>
      <w:lvlJc w:val="left"/>
      <w:pPr>
        <w:ind w:left="1440" w:hanging="360"/>
      </w:pPr>
      <w:rPr>
        <w:rFonts w:ascii="Calibri" w:hAnsi="Calibri" w:hint="default"/>
      </w:rPr>
    </w:lvl>
    <w:lvl w:ilvl="4">
      <w:start w:val="1"/>
      <w:numFmt w:val="bullet"/>
      <w:lvlText w:val="‐"/>
      <w:lvlJc w:val="left"/>
      <w:pPr>
        <w:ind w:left="1800" w:hanging="360"/>
      </w:pPr>
      <w:rPr>
        <w:rFonts w:ascii="Calibri" w:hAnsi="Calibri" w:hint="default"/>
      </w:rPr>
    </w:lvl>
    <w:lvl w:ilvl="5">
      <w:start w:val="1"/>
      <w:numFmt w:val="bullet"/>
      <w:lvlText w:val="‐"/>
      <w:lvlJc w:val="left"/>
      <w:pPr>
        <w:ind w:left="2160" w:hanging="360"/>
      </w:pPr>
      <w:rPr>
        <w:rFonts w:ascii="Calibri" w:hAnsi="Calibri" w:hint="default"/>
      </w:rPr>
    </w:lvl>
    <w:lvl w:ilvl="6">
      <w:start w:val="1"/>
      <w:numFmt w:val="bullet"/>
      <w:lvlText w:val="‐"/>
      <w:lvlJc w:val="left"/>
      <w:pPr>
        <w:ind w:left="2520" w:hanging="360"/>
      </w:pPr>
      <w:rPr>
        <w:rFonts w:ascii="Calibri" w:hAnsi="Calibri" w:hint="default"/>
      </w:rPr>
    </w:lvl>
    <w:lvl w:ilvl="7">
      <w:start w:val="1"/>
      <w:numFmt w:val="bullet"/>
      <w:lvlText w:val="‐"/>
      <w:lvlJc w:val="left"/>
      <w:pPr>
        <w:ind w:left="2880" w:hanging="360"/>
      </w:pPr>
      <w:rPr>
        <w:rFonts w:ascii="Calibri" w:hAnsi="Calibri" w:hint="default"/>
      </w:rPr>
    </w:lvl>
    <w:lvl w:ilvl="8">
      <w:start w:val="1"/>
      <w:numFmt w:val="bullet"/>
      <w:lvlText w:val="‐"/>
      <w:lvlJc w:val="left"/>
      <w:pPr>
        <w:ind w:left="3240" w:hanging="360"/>
      </w:pPr>
      <w:rPr>
        <w:rFonts w:ascii="Calibri" w:hAnsi="Calibri" w:hint="default"/>
      </w:rPr>
    </w:lvl>
  </w:abstractNum>
  <w:abstractNum w:abstractNumId="16" w15:restartNumberingAfterBreak="0">
    <w:nsid w:val="32FD5EB1"/>
    <w:multiLevelType w:val="hybridMultilevel"/>
    <w:tmpl w:val="0ECAC6E4"/>
    <w:lvl w:ilvl="0" w:tplc="41FCE892">
      <w:start w:val="1"/>
      <w:numFmt w:val="bullet"/>
      <w:lvlText w:val=""/>
      <w:lvlJc w:val="left"/>
      <w:pPr>
        <w:ind w:left="360" w:hanging="360"/>
      </w:pPr>
      <w:rPr>
        <w:rFonts w:ascii="Symbol" w:hAnsi="Symbol" w:hint="default"/>
      </w:rPr>
    </w:lvl>
    <w:lvl w:ilvl="1" w:tplc="CD446408" w:tentative="1">
      <w:start w:val="1"/>
      <w:numFmt w:val="bullet"/>
      <w:lvlText w:val="o"/>
      <w:lvlJc w:val="left"/>
      <w:pPr>
        <w:ind w:left="1080" w:hanging="360"/>
      </w:pPr>
      <w:rPr>
        <w:rFonts w:ascii="Courier New" w:hAnsi="Courier New" w:cs="Courier New" w:hint="default"/>
      </w:rPr>
    </w:lvl>
    <w:lvl w:ilvl="2" w:tplc="E4065148" w:tentative="1">
      <w:start w:val="1"/>
      <w:numFmt w:val="bullet"/>
      <w:lvlText w:val=""/>
      <w:lvlJc w:val="left"/>
      <w:pPr>
        <w:ind w:left="1800" w:hanging="360"/>
      </w:pPr>
      <w:rPr>
        <w:rFonts w:ascii="Wingdings" w:hAnsi="Wingdings" w:hint="default"/>
      </w:rPr>
    </w:lvl>
    <w:lvl w:ilvl="3" w:tplc="8EA491DE" w:tentative="1">
      <w:start w:val="1"/>
      <w:numFmt w:val="bullet"/>
      <w:lvlText w:val=""/>
      <w:lvlJc w:val="left"/>
      <w:pPr>
        <w:ind w:left="2520" w:hanging="360"/>
      </w:pPr>
      <w:rPr>
        <w:rFonts w:ascii="Symbol" w:hAnsi="Symbol" w:hint="default"/>
      </w:rPr>
    </w:lvl>
    <w:lvl w:ilvl="4" w:tplc="9F1A2BF4" w:tentative="1">
      <w:start w:val="1"/>
      <w:numFmt w:val="bullet"/>
      <w:lvlText w:val="o"/>
      <w:lvlJc w:val="left"/>
      <w:pPr>
        <w:ind w:left="3240" w:hanging="360"/>
      </w:pPr>
      <w:rPr>
        <w:rFonts w:ascii="Courier New" w:hAnsi="Courier New" w:cs="Courier New" w:hint="default"/>
      </w:rPr>
    </w:lvl>
    <w:lvl w:ilvl="5" w:tplc="A642E4BA" w:tentative="1">
      <w:start w:val="1"/>
      <w:numFmt w:val="bullet"/>
      <w:lvlText w:val=""/>
      <w:lvlJc w:val="left"/>
      <w:pPr>
        <w:ind w:left="3960" w:hanging="360"/>
      </w:pPr>
      <w:rPr>
        <w:rFonts w:ascii="Wingdings" w:hAnsi="Wingdings" w:hint="default"/>
      </w:rPr>
    </w:lvl>
    <w:lvl w:ilvl="6" w:tplc="4C98C03A" w:tentative="1">
      <w:start w:val="1"/>
      <w:numFmt w:val="bullet"/>
      <w:lvlText w:val=""/>
      <w:lvlJc w:val="left"/>
      <w:pPr>
        <w:ind w:left="4680" w:hanging="360"/>
      </w:pPr>
      <w:rPr>
        <w:rFonts w:ascii="Symbol" w:hAnsi="Symbol" w:hint="default"/>
      </w:rPr>
    </w:lvl>
    <w:lvl w:ilvl="7" w:tplc="28743342" w:tentative="1">
      <w:start w:val="1"/>
      <w:numFmt w:val="bullet"/>
      <w:lvlText w:val="o"/>
      <w:lvlJc w:val="left"/>
      <w:pPr>
        <w:ind w:left="5400" w:hanging="360"/>
      </w:pPr>
      <w:rPr>
        <w:rFonts w:ascii="Courier New" w:hAnsi="Courier New" w:cs="Courier New" w:hint="default"/>
      </w:rPr>
    </w:lvl>
    <w:lvl w:ilvl="8" w:tplc="F0D2512E" w:tentative="1">
      <w:start w:val="1"/>
      <w:numFmt w:val="bullet"/>
      <w:lvlText w:val=""/>
      <w:lvlJc w:val="left"/>
      <w:pPr>
        <w:ind w:left="6120" w:hanging="360"/>
      </w:pPr>
      <w:rPr>
        <w:rFonts w:ascii="Wingdings" w:hAnsi="Wingdings" w:hint="default"/>
      </w:rPr>
    </w:lvl>
  </w:abstractNum>
  <w:abstractNum w:abstractNumId="17" w15:restartNumberingAfterBreak="0">
    <w:nsid w:val="687D50E0"/>
    <w:multiLevelType w:val="hybridMultilevel"/>
    <w:tmpl w:val="7472D122"/>
    <w:lvl w:ilvl="0" w:tplc="BE02E5A8">
      <w:start w:val="1"/>
      <w:numFmt w:val="lowerLetter"/>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8" w15:restartNumberingAfterBreak="0">
    <w:nsid w:val="78B9194A"/>
    <w:multiLevelType w:val="hybridMultilevel"/>
    <w:tmpl w:val="C09C9F7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302121259">
    <w:abstractNumId w:val="15"/>
  </w:num>
  <w:num w:numId="2" w16cid:durableId="1766994911">
    <w:abstractNumId w:val="16"/>
  </w:num>
  <w:num w:numId="3" w16cid:durableId="2067684151">
    <w:abstractNumId w:val="18"/>
  </w:num>
  <w:num w:numId="4" w16cid:durableId="1938052143">
    <w:abstractNumId w:val="13"/>
  </w:num>
  <w:num w:numId="5" w16cid:durableId="651059839">
    <w:abstractNumId w:val="17"/>
  </w:num>
  <w:num w:numId="6" w16cid:durableId="318114625">
    <w:abstractNumId w:val="12"/>
  </w:num>
  <w:num w:numId="7" w16cid:durableId="1961187097">
    <w:abstractNumId w:val="10"/>
  </w:num>
  <w:num w:numId="8" w16cid:durableId="948977070">
    <w:abstractNumId w:val="7"/>
  </w:num>
  <w:num w:numId="9" w16cid:durableId="222176364">
    <w:abstractNumId w:val="6"/>
  </w:num>
  <w:num w:numId="10" w16cid:durableId="262421178">
    <w:abstractNumId w:val="5"/>
  </w:num>
  <w:num w:numId="11" w16cid:durableId="1175995148">
    <w:abstractNumId w:val="4"/>
  </w:num>
  <w:num w:numId="12" w16cid:durableId="1977031783">
    <w:abstractNumId w:val="8"/>
  </w:num>
  <w:num w:numId="13" w16cid:durableId="708457370">
    <w:abstractNumId w:val="3"/>
  </w:num>
  <w:num w:numId="14" w16cid:durableId="1464419376">
    <w:abstractNumId w:val="2"/>
  </w:num>
  <w:num w:numId="15" w16cid:durableId="863249538">
    <w:abstractNumId w:val="1"/>
  </w:num>
  <w:num w:numId="16" w16cid:durableId="331950620">
    <w:abstractNumId w:val="0"/>
  </w:num>
  <w:num w:numId="17" w16cid:durableId="536771372">
    <w:abstractNumId w:val="11"/>
  </w:num>
  <w:num w:numId="18" w16cid:durableId="310795687">
    <w:abstractNumId w:val="14"/>
  </w:num>
  <w:num w:numId="19" w16cid:durableId="154910600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removePersonalInformation/>
  <w:removeDateAndTime/>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efaultTableStyle w:val="DefaultTab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9BC"/>
    <w:rsid w:val="00000B9B"/>
    <w:rsid w:val="0000418A"/>
    <w:rsid w:val="00005298"/>
    <w:rsid w:val="00007713"/>
    <w:rsid w:val="00010047"/>
    <w:rsid w:val="000201BF"/>
    <w:rsid w:val="00022C0E"/>
    <w:rsid w:val="00022E9C"/>
    <w:rsid w:val="00025631"/>
    <w:rsid w:val="00027B26"/>
    <w:rsid w:val="00032861"/>
    <w:rsid w:val="000353E7"/>
    <w:rsid w:val="0004240E"/>
    <w:rsid w:val="000434B0"/>
    <w:rsid w:val="00046F8E"/>
    <w:rsid w:val="00047524"/>
    <w:rsid w:val="0005040E"/>
    <w:rsid w:val="0005087D"/>
    <w:rsid w:val="00052EF3"/>
    <w:rsid w:val="000547EF"/>
    <w:rsid w:val="000573C4"/>
    <w:rsid w:val="000619E4"/>
    <w:rsid w:val="00061AD3"/>
    <w:rsid w:val="00062484"/>
    <w:rsid w:val="00064EE9"/>
    <w:rsid w:val="00066236"/>
    <w:rsid w:val="00067F11"/>
    <w:rsid w:val="00080A09"/>
    <w:rsid w:val="00081CEB"/>
    <w:rsid w:val="000824D2"/>
    <w:rsid w:val="00083082"/>
    <w:rsid w:val="00084095"/>
    <w:rsid w:val="00087B2C"/>
    <w:rsid w:val="00087DBD"/>
    <w:rsid w:val="00090718"/>
    <w:rsid w:val="00091B4E"/>
    <w:rsid w:val="000A47A8"/>
    <w:rsid w:val="000B6167"/>
    <w:rsid w:val="000C014D"/>
    <w:rsid w:val="000C29B4"/>
    <w:rsid w:val="000C56B9"/>
    <w:rsid w:val="000C5CD8"/>
    <w:rsid w:val="000C6642"/>
    <w:rsid w:val="000D078F"/>
    <w:rsid w:val="000D08BA"/>
    <w:rsid w:val="000D1158"/>
    <w:rsid w:val="000D39AA"/>
    <w:rsid w:val="000D3EF6"/>
    <w:rsid w:val="000D4152"/>
    <w:rsid w:val="000D4680"/>
    <w:rsid w:val="000D4703"/>
    <w:rsid w:val="000D478B"/>
    <w:rsid w:val="000D5750"/>
    <w:rsid w:val="000D5A71"/>
    <w:rsid w:val="000D636E"/>
    <w:rsid w:val="000E12D4"/>
    <w:rsid w:val="000E2009"/>
    <w:rsid w:val="000E39EF"/>
    <w:rsid w:val="000E3F1E"/>
    <w:rsid w:val="000E433B"/>
    <w:rsid w:val="000E620E"/>
    <w:rsid w:val="000E6DCD"/>
    <w:rsid w:val="000E7009"/>
    <w:rsid w:val="000F1074"/>
    <w:rsid w:val="000F1376"/>
    <w:rsid w:val="000F2063"/>
    <w:rsid w:val="000F3DC7"/>
    <w:rsid w:val="000F4B0C"/>
    <w:rsid w:val="00100276"/>
    <w:rsid w:val="00102593"/>
    <w:rsid w:val="00102824"/>
    <w:rsid w:val="00113655"/>
    <w:rsid w:val="00121368"/>
    <w:rsid w:val="001247E0"/>
    <w:rsid w:val="001271A1"/>
    <w:rsid w:val="00127F35"/>
    <w:rsid w:val="001307C4"/>
    <w:rsid w:val="00132F0D"/>
    <w:rsid w:val="00133713"/>
    <w:rsid w:val="001413C5"/>
    <w:rsid w:val="00142956"/>
    <w:rsid w:val="00144868"/>
    <w:rsid w:val="001452BC"/>
    <w:rsid w:val="001465C0"/>
    <w:rsid w:val="00151650"/>
    <w:rsid w:val="00151FC4"/>
    <w:rsid w:val="00156F84"/>
    <w:rsid w:val="00157709"/>
    <w:rsid w:val="00157857"/>
    <w:rsid w:val="00157AC3"/>
    <w:rsid w:val="00160E91"/>
    <w:rsid w:val="00162628"/>
    <w:rsid w:val="00165626"/>
    <w:rsid w:val="0016618A"/>
    <w:rsid w:val="00167CF4"/>
    <w:rsid w:val="0017249B"/>
    <w:rsid w:val="001824C8"/>
    <w:rsid w:val="00182698"/>
    <w:rsid w:val="001829E3"/>
    <w:rsid w:val="00182E98"/>
    <w:rsid w:val="001943DD"/>
    <w:rsid w:val="00195DFF"/>
    <w:rsid w:val="00196BAC"/>
    <w:rsid w:val="001A13F6"/>
    <w:rsid w:val="001B2683"/>
    <w:rsid w:val="001B3AEC"/>
    <w:rsid w:val="001B5259"/>
    <w:rsid w:val="001B66DA"/>
    <w:rsid w:val="001B6F28"/>
    <w:rsid w:val="001C2310"/>
    <w:rsid w:val="001C270F"/>
    <w:rsid w:val="001C3665"/>
    <w:rsid w:val="001C47BB"/>
    <w:rsid w:val="001C4F4F"/>
    <w:rsid w:val="001D0B09"/>
    <w:rsid w:val="001D141C"/>
    <w:rsid w:val="001D20B7"/>
    <w:rsid w:val="001D5086"/>
    <w:rsid w:val="001D5BE2"/>
    <w:rsid w:val="001F06C5"/>
    <w:rsid w:val="001F0BE1"/>
    <w:rsid w:val="001F24EF"/>
    <w:rsid w:val="001F39A6"/>
    <w:rsid w:val="001F5B5B"/>
    <w:rsid w:val="00201A33"/>
    <w:rsid w:val="002050F1"/>
    <w:rsid w:val="002069D2"/>
    <w:rsid w:val="002100AA"/>
    <w:rsid w:val="002108BC"/>
    <w:rsid w:val="002120E1"/>
    <w:rsid w:val="00216CF5"/>
    <w:rsid w:val="00222C8D"/>
    <w:rsid w:val="0022370C"/>
    <w:rsid w:val="00223774"/>
    <w:rsid w:val="002262D2"/>
    <w:rsid w:val="0022742E"/>
    <w:rsid w:val="00231FBE"/>
    <w:rsid w:val="0023402C"/>
    <w:rsid w:val="0023523A"/>
    <w:rsid w:val="00235AF0"/>
    <w:rsid w:val="0023757C"/>
    <w:rsid w:val="00240409"/>
    <w:rsid w:val="00241C3B"/>
    <w:rsid w:val="00246FE6"/>
    <w:rsid w:val="002470E3"/>
    <w:rsid w:val="00261091"/>
    <w:rsid w:val="0026149B"/>
    <w:rsid w:val="00265F8D"/>
    <w:rsid w:val="00266C87"/>
    <w:rsid w:val="002672F1"/>
    <w:rsid w:val="00267B1C"/>
    <w:rsid w:val="00271922"/>
    <w:rsid w:val="00273412"/>
    <w:rsid w:val="00273B35"/>
    <w:rsid w:val="00273ECD"/>
    <w:rsid w:val="00274387"/>
    <w:rsid w:val="00274ACF"/>
    <w:rsid w:val="0028159B"/>
    <w:rsid w:val="00290F6C"/>
    <w:rsid w:val="002919AA"/>
    <w:rsid w:val="00294057"/>
    <w:rsid w:val="002956DB"/>
    <w:rsid w:val="00295BFF"/>
    <w:rsid w:val="00296F5E"/>
    <w:rsid w:val="00297EA9"/>
    <w:rsid w:val="002A6DF5"/>
    <w:rsid w:val="002B49E1"/>
    <w:rsid w:val="002B6406"/>
    <w:rsid w:val="002B6809"/>
    <w:rsid w:val="002C3753"/>
    <w:rsid w:val="002C70BA"/>
    <w:rsid w:val="002D00B0"/>
    <w:rsid w:val="002D03B2"/>
    <w:rsid w:val="002D2364"/>
    <w:rsid w:val="002D2E16"/>
    <w:rsid w:val="002E22FA"/>
    <w:rsid w:val="002F3E1C"/>
    <w:rsid w:val="002F6232"/>
    <w:rsid w:val="002F7299"/>
    <w:rsid w:val="002F7B08"/>
    <w:rsid w:val="003020CE"/>
    <w:rsid w:val="00304B3E"/>
    <w:rsid w:val="00304D97"/>
    <w:rsid w:val="00313304"/>
    <w:rsid w:val="00325090"/>
    <w:rsid w:val="00326976"/>
    <w:rsid w:val="003311D7"/>
    <w:rsid w:val="00332B8B"/>
    <w:rsid w:val="003362A2"/>
    <w:rsid w:val="00342F3C"/>
    <w:rsid w:val="003458EB"/>
    <w:rsid w:val="00346AF5"/>
    <w:rsid w:val="00347104"/>
    <w:rsid w:val="00350C21"/>
    <w:rsid w:val="00351B5F"/>
    <w:rsid w:val="00354178"/>
    <w:rsid w:val="003573C9"/>
    <w:rsid w:val="00364B49"/>
    <w:rsid w:val="003660F0"/>
    <w:rsid w:val="00366283"/>
    <w:rsid w:val="0036777E"/>
    <w:rsid w:val="003701FA"/>
    <w:rsid w:val="00372DF8"/>
    <w:rsid w:val="00373E18"/>
    <w:rsid w:val="00377EDD"/>
    <w:rsid w:val="0039391A"/>
    <w:rsid w:val="003945C0"/>
    <w:rsid w:val="0039543F"/>
    <w:rsid w:val="00396A38"/>
    <w:rsid w:val="003A25A7"/>
    <w:rsid w:val="003C06B3"/>
    <w:rsid w:val="003C3B9D"/>
    <w:rsid w:val="003C3C1A"/>
    <w:rsid w:val="003C42F3"/>
    <w:rsid w:val="003D030E"/>
    <w:rsid w:val="003D1F49"/>
    <w:rsid w:val="003D2061"/>
    <w:rsid w:val="003D5099"/>
    <w:rsid w:val="003E237B"/>
    <w:rsid w:val="003E32A7"/>
    <w:rsid w:val="003F3072"/>
    <w:rsid w:val="003F7FA3"/>
    <w:rsid w:val="0040402F"/>
    <w:rsid w:val="00405F81"/>
    <w:rsid w:val="00406709"/>
    <w:rsid w:val="004074EF"/>
    <w:rsid w:val="0041307C"/>
    <w:rsid w:val="00415839"/>
    <w:rsid w:val="00415A38"/>
    <w:rsid w:val="004167B4"/>
    <w:rsid w:val="00416A01"/>
    <w:rsid w:val="00420F0E"/>
    <w:rsid w:val="00425AFB"/>
    <w:rsid w:val="0042785B"/>
    <w:rsid w:val="00430D7E"/>
    <w:rsid w:val="00432332"/>
    <w:rsid w:val="00433B04"/>
    <w:rsid w:val="0043784D"/>
    <w:rsid w:val="004403F8"/>
    <w:rsid w:val="00445E9E"/>
    <w:rsid w:val="004467E0"/>
    <w:rsid w:val="00446F93"/>
    <w:rsid w:val="00447BD9"/>
    <w:rsid w:val="00447E2B"/>
    <w:rsid w:val="0045740C"/>
    <w:rsid w:val="004640B2"/>
    <w:rsid w:val="00467185"/>
    <w:rsid w:val="0047050C"/>
    <w:rsid w:val="00470A37"/>
    <w:rsid w:val="00470E49"/>
    <w:rsid w:val="0047415A"/>
    <w:rsid w:val="004750DB"/>
    <w:rsid w:val="00476B04"/>
    <w:rsid w:val="004804B6"/>
    <w:rsid w:val="00480D63"/>
    <w:rsid w:val="00480F21"/>
    <w:rsid w:val="0048108E"/>
    <w:rsid w:val="00483D5F"/>
    <w:rsid w:val="00483EB2"/>
    <w:rsid w:val="0048537F"/>
    <w:rsid w:val="00486FAE"/>
    <w:rsid w:val="00490A65"/>
    <w:rsid w:val="0049226C"/>
    <w:rsid w:val="00494FC1"/>
    <w:rsid w:val="00495AF1"/>
    <w:rsid w:val="00495F1F"/>
    <w:rsid w:val="004A6BE6"/>
    <w:rsid w:val="004B0828"/>
    <w:rsid w:val="004B284C"/>
    <w:rsid w:val="004B3DF1"/>
    <w:rsid w:val="004B4171"/>
    <w:rsid w:val="004B4262"/>
    <w:rsid w:val="004C70B4"/>
    <w:rsid w:val="004D001E"/>
    <w:rsid w:val="004D3D54"/>
    <w:rsid w:val="004D5090"/>
    <w:rsid w:val="004D5E70"/>
    <w:rsid w:val="004E01E2"/>
    <w:rsid w:val="004E0321"/>
    <w:rsid w:val="004E26B5"/>
    <w:rsid w:val="004E6682"/>
    <w:rsid w:val="004F0863"/>
    <w:rsid w:val="004F15EF"/>
    <w:rsid w:val="004F317D"/>
    <w:rsid w:val="004F4BED"/>
    <w:rsid w:val="004F51EB"/>
    <w:rsid w:val="004F774D"/>
    <w:rsid w:val="005015E4"/>
    <w:rsid w:val="0050291D"/>
    <w:rsid w:val="005043BE"/>
    <w:rsid w:val="0050562A"/>
    <w:rsid w:val="00513C4A"/>
    <w:rsid w:val="005159B3"/>
    <w:rsid w:val="00516150"/>
    <w:rsid w:val="0051705B"/>
    <w:rsid w:val="005301ED"/>
    <w:rsid w:val="005315E7"/>
    <w:rsid w:val="00540AD0"/>
    <w:rsid w:val="00540CD9"/>
    <w:rsid w:val="00544E28"/>
    <w:rsid w:val="00550C95"/>
    <w:rsid w:val="005523D1"/>
    <w:rsid w:val="0055532E"/>
    <w:rsid w:val="00555823"/>
    <w:rsid w:val="00555BC3"/>
    <w:rsid w:val="00557C8E"/>
    <w:rsid w:val="00565198"/>
    <w:rsid w:val="00565E2E"/>
    <w:rsid w:val="00567A28"/>
    <w:rsid w:val="00567BD0"/>
    <w:rsid w:val="005754F8"/>
    <w:rsid w:val="00575655"/>
    <w:rsid w:val="00577E1C"/>
    <w:rsid w:val="0058148B"/>
    <w:rsid w:val="005814AC"/>
    <w:rsid w:val="00584676"/>
    <w:rsid w:val="00586757"/>
    <w:rsid w:val="0059070B"/>
    <w:rsid w:val="00590FC2"/>
    <w:rsid w:val="00592C04"/>
    <w:rsid w:val="00592D4D"/>
    <w:rsid w:val="00595492"/>
    <w:rsid w:val="005A5340"/>
    <w:rsid w:val="005A590C"/>
    <w:rsid w:val="005B1225"/>
    <w:rsid w:val="005B257F"/>
    <w:rsid w:val="005B2B99"/>
    <w:rsid w:val="005B3823"/>
    <w:rsid w:val="005C5F3C"/>
    <w:rsid w:val="005D0DF3"/>
    <w:rsid w:val="005D1A8B"/>
    <w:rsid w:val="005D5460"/>
    <w:rsid w:val="005E08CD"/>
    <w:rsid w:val="005F4925"/>
    <w:rsid w:val="005F7710"/>
    <w:rsid w:val="006018F0"/>
    <w:rsid w:val="006031CA"/>
    <w:rsid w:val="006042CD"/>
    <w:rsid w:val="00607199"/>
    <w:rsid w:val="00607597"/>
    <w:rsid w:val="006127CC"/>
    <w:rsid w:val="0061648C"/>
    <w:rsid w:val="006228E5"/>
    <w:rsid w:val="006243C6"/>
    <w:rsid w:val="00633FBB"/>
    <w:rsid w:val="00635A6C"/>
    <w:rsid w:val="0064700E"/>
    <w:rsid w:val="00650964"/>
    <w:rsid w:val="006530EF"/>
    <w:rsid w:val="006554DD"/>
    <w:rsid w:val="00663CFD"/>
    <w:rsid w:val="0067233D"/>
    <w:rsid w:val="00673BED"/>
    <w:rsid w:val="006745AE"/>
    <w:rsid w:val="00674EEA"/>
    <w:rsid w:val="0067650E"/>
    <w:rsid w:val="00676AF3"/>
    <w:rsid w:val="00684FC9"/>
    <w:rsid w:val="00685FB9"/>
    <w:rsid w:val="0069174B"/>
    <w:rsid w:val="0069192B"/>
    <w:rsid w:val="00693340"/>
    <w:rsid w:val="00695C27"/>
    <w:rsid w:val="00695DD9"/>
    <w:rsid w:val="006970F2"/>
    <w:rsid w:val="00697DBF"/>
    <w:rsid w:val="006A27F2"/>
    <w:rsid w:val="006B05E3"/>
    <w:rsid w:val="006B09BC"/>
    <w:rsid w:val="006B5351"/>
    <w:rsid w:val="006C0A4F"/>
    <w:rsid w:val="006C0C2C"/>
    <w:rsid w:val="006C131A"/>
    <w:rsid w:val="006C3E68"/>
    <w:rsid w:val="006C45D4"/>
    <w:rsid w:val="006C4F70"/>
    <w:rsid w:val="006C586F"/>
    <w:rsid w:val="006D2042"/>
    <w:rsid w:val="006D3BCE"/>
    <w:rsid w:val="006D4965"/>
    <w:rsid w:val="006D596B"/>
    <w:rsid w:val="006D5D98"/>
    <w:rsid w:val="006E1003"/>
    <w:rsid w:val="006E16BF"/>
    <w:rsid w:val="006E53B9"/>
    <w:rsid w:val="006E57D0"/>
    <w:rsid w:val="00700135"/>
    <w:rsid w:val="00706250"/>
    <w:rsid w:val="007077F1"/>
    <w:rsid w:val="00707845"/>
    <w:rsid w:val="007141B2"/>
    <w:rsid w:val="00717090"/>
    <w:rsid w:val="00720739"/>
    <w:rsid w:val="0072443D"/>
    <w:rsid w:val="0073061C"/>
    <w:rsid w:val="00733C0C"/>
    <w:rsid w:val="007353DE"/>
    <w:rsid w:val="00736DCA"/>
    <w:rsid w:val="00737040"/>
    <w:rsid w:val="00741E5C"/>
    <w:rsid w:val="00746960"/>
    <w:rsid w:val="0075003D"/>
    <w:rsid w:val="00750828"/>
    <w:rsid w:val="00751959"/>
    <w:rsid w:val="00751D97"/>
    <w:rsid w:val="007533DF"/>
    <w:rsid w:val="007562D4"/>
    <w:rsid w:val="00757A86"/>
    <w:rsid w:val="00761FCF"/>
    <w:rsid w:val="007621B9"/>
    <w:rsid w:val="00764B74"/>
    <w:rsid w:val="00765503"/>
    <w:rsid w:val="0076553B"/>
    <w:rsid w:val="00767B7E"/>
    <w:rsid w:val="00773357"/>
    <w:rsid w:val="00773CD5"/>
    <w:rsid w:val="007745B7"/>
    <w:rsid w:val="00780162"/>
    <w:rsid w:val="00780EEF"/>
    <w:rsid w:val="0078204F"/>
    <w:rsid w:val="00783316"/>
    <w:rsid w:val="00784456"/>
    <w:rsid w:val="007847F1"/>
    <w:rsid w:val="00785465"/>
    <w:rsid w:val="00787656"/>
    <w:rsid w:val="00794859"/>
    <w:rsid w:val="00797242"/>
    <w:rsid w:val="007B1455"/>
    <w:rsid w:val="007B6E0A"/>
    <w:rsid w:val="007C0A3C"/>
    <w:rsid w:val="007C408B"/>
    <w:rsid w:val="007C5142"/>
    <w:rsid w:val="007C5F4C"/>
    <w:rsid w:val="007C636F"/>
    <w:rsid w:val="007D39EB"/>
    <w:rsid w:val="007D5CE4"/>
    <w:rsid w:val="007E2FE3"/>
    <w:rsid w:val="007E395C"/>
    <w:rsid w:val="007E473A"/>
    <w:rsid w:val="007E572A"/>
    <w:rsid w:val="007E77A8"/>
    <w:rsid w:val="007F1559"/>
    <w:rsid w:val="007F43ED"/>
    <w:rsid w:val="007F491C"/>
    <w:rsid w:val="00801AE6"/>
    <w:rsid w:val="00801D20"/>
    <w:rsid w:val="008023A2"/>
    <w:rsid w:val="00803BAF"/>
    <w:rsid w:val="008061C9"/>
    <w:rsid w:val="00807D90"/>
    <w:rsid w:val="0081247F"/>
    <w:rsid w:val="008126FC"/>
    <w:rsid w:val="00813711"/>
    <w:rsid w:val="00813887"/>
    <w:rsid w:val="00821E64"/>
    <w:rsid w:val="008263C2"/>
    <w:rsid w:val="00827157"/>
    <w:rsid w:val="00830324"/>
    <w:rsid w:val="008307DB"/>
    <w:rsid w:val="00835D9D"/>
    <w:rsid w:val="008370E3"/>
    <w:rsid w:val="0083742A"/>
    <w:rsid w:val="008418FA"/>
    <w:rsid w:val="00841A0E"/>
    <w:rsid w:val="00842959"/>
    <w:rsid w:val="008454C2"/>
    <w:rsid w:val="00846A68"/>
    <w:rsid w:val="00852119"/>
    <w:rsid w:val="008544DF"/>
    <w:rsid w:val="00854AD3"/>
    <w:rsid w:val="00860AAD"/>
    <w:rsid w:val="00863F80"/>
    <w:rsid w:val="00866DDC"/>
    <w:rsid w:val="00873611"/>
    <w:rsid w:val="00873C8F"/>
    <w:rsid w:val="00874FB3"/>
    <w:rsid w:val="00880BE3"/>
    <w:rsid w:val="00881359"/>
    <w:rsid w:val="008817A2"/>
    <w:rsid w:val="00882588"/>
    <w:rsid w:val="008853F6"/>
    <w:rsid w:val="008856CF"/>
    <w:rsid w:val="00892F4C"/>
    <w:rsid w:val="00893A31"/>
    <w:rsid w:val="008C0406"/>
    <w:rsid w:val="008C123E"/>
    <w:rsid w:val="008C137D"/>
    <w:rsid w:val="008C22DD"/>
    <w:rsid w:val="008C2C8F"/>
    <w:rsid w:val="008C3ED0"/>
    <w:rsid w:val="008C5E94"/>
    <w:rsid w:val="008D1C2B"/>
    <w:rsid w:val="008D3745"/>
    <w:rsid w:val="008D556C"/>
    <w:rsid w:val="008E3117"/>
    <w:rsid w:val="008E5AE1"/>
    <w:rsid w:val="008F00CF"/>
    <w:rsid w:val="008F06AC"/>
    <w:rsid w:val="008F460E"/>
    <w:rsid w:val="008F68F7"/>
    <w:rsid w:val="008F6FCB"/>
    <w:rsid w:val="00901168"/>
    <w:rsid w:val="009037B6"/>
    <w:rsid w:val="00906CBE"/>
    <w:rsid w:val="00906F64"/>
    <w:rsid w:val="00910384"/>
    <w:rsid w:val="0091360F"/>
    <w:rsid w:val="00914904"/>
    <w:rsid w:val="009154CE"/>
    <w:rsid w:val="0091607A"/>
    <w:rsid w:val="0091702F"/>
    <w:rsid w:val="0092093B"/>
    <w:rsid w:val="00922035"/>
    <w:rsid w:val="0092208E"/>
    <w:rsid w:val="00922E19"/>
    <w:rsid w:val="0092425E"/>
    <w:rsid w:val="00933BFC"/>
    <w:rsid w:val="00942FFE"/>
    <w:rsid w:val="0094454C"/>
    <w:rsid w:val="00946061"/>
    <w:rsid w:val="00953966"/>
    <w:rsid w:val="00954C15"/>
    <w:rsid w:val="009551E0"/>
    <w:rsid w:val="0095540F"/>
    <w:rsid w:val="0095654E"/>
    <w:rsid w:val="00956CEB"/>
    <w:rsid w:val="00956D8E"/>
    <w:rsid w:val="00956F3C"/>
    <w:rsid w:val="009575F4"/>
    <w:rsid w:val="0096104F"/>
    <w:rsid w:val="00964A93"/>
    <w:rsid w:val="00965482"/>
    <w:rsid w:val="00970CEC"/>
    <w:rsid w:val="009710A4"/>
    <w:rsid w:val="00971C34"/>
    <w:rsid w:val="00981882"/>
    <w:rsid w:val="009820C8"/>
    <w:rsid w:val="009900F0"/>
    <w:rsid w:val="00991769"/>
    <w:rsid w:val="0099392F"/>
    <w:rsid w:val="00996E1C"/>
    <w:rsid w:val="009A0A7A"/>
    <w:rsid w:val="009A235D"/>
    <w:rsid w:val="009B4225"/>
    <w:rsid w:val="009C0F18"/>
    <w:rsid w:val="009C10DD"/>
    <w:rsid w:val="009C15B2"/>
    <w:rsid w:val="009C32B0"/>
    <w:rsid w:val="009C61EA"/>
    <w:rsid w:val="009C742E"/>
    <w:rsid w:val="009C7830"/>
    <w:rsid w:val="009D7148"/>
    <w:rsid w:val="009E02FD"/>
    <w:rsid w:val="009F241B"/>
    <w:rsid w:val="009F5A96"/>
    <w:rsid w:val="00A023A0"/>
    <w:rsid w:val="00A024E9"/>
    <w:rsid w:val="00A02FA3"/>
    <w:rsid w:val="00A030C3"/>
    <w:rsid w:val="00A06B8B"/>
    <w:rsid w:val="00A10147"/>
    <w:rsid w:val="00A10817"/>
    <w:rsid w:val="00A11497"/>
    <w:rsid w:val="00A12A53"/>
    <w:rsid w:val="00A131E6"/>
    <w:rsid w:val="00A13843"/>
    <w:rsid w:val="00A13C5E"/>
    <w:rsid w:val="00A14341"/>
    <w:rsid w:val="00A146A5"/>
    <w:rsid w:val="00A150A8"/>
    <w:rsid w:val="00A177FB"/>
    <w:rsid w:val="00A214C2"/>
    <w:rsid w:val="00A21593"/>
    <w:rsid w:val="00A22C21"/>
    <w:rsid w:val="00A24C2A"/>
    <w:rsid w:val="00A2604E"/>
    <w:rsid w:val="00A307DD"/>
    <w:rsid w:val="00A3533A"/>
    <w:rsid w:val="00A35351"/>
    <w:rsid w:val="00A35E0F"/>
    <w:rsid w:val="00A36723"/>
    <w:rsid w:val="00A44399"/>
    <w:rsid w:val="00A5149A"/>
    <w:rsid w:val="00A60693"/>
    <w:rsid w:val="00A61716"/>
    <w:rsid w:val="00A6196D"/>
    <w:rsid w:val="00A61ADF"/>
    <w:rsid w:val="00A82E14"/>
    <w:rsid w:val="00A86260"/>
    <w:rsid w:val="00A8722B"/>
    <w:rsid w:val="00A901E9"/>
    <w:rsid w:val="00A91B3B"/>
    <w:rsid w:val="00A91D3E"/>
    <w:rsid w:val="00A94F45"/>
    <w:rsid w:val="00A94F7A"/>
    <w:rsid w:val="00A95D3B"/>
    <w:rsid w:val="00AA0081"/>
    <w:rsid w:val="00AA130A"/>
    <w:rsid w:val="00AA1594"/>
    <w:rsid w:val="00AA21E9"/>
    <w:rsid w:val="00AA654A"/>
    <w:rsid w:val="00AB4CBB"/>
    <w:rsid w:val="00AB7092"/>
    <w:rsid w:val="00AC125E"/>
    <w:rsid w:val="00AC13EC"/>
    <w:rsid w:val="00AC45DF"/>
    <w:rsid w:val="00AC474D"/>
    <w:rsid w:val="00AC4DFD"/>
    <w:rsid w:val="00AC58FD"/>
    <w:rsid w:val="00AD1178"/>
    <w:rsid w:val="00AD1A96"/>
    <w:rsid w:val="00AD4D60"/>
    <w:rsid w:val="00AD793A"/>
    <w:rsid w:val="00AE0564"/>
    <w:rsid w:val="00AE3D4A"/>
    <w:rsid w:val="00AE5956"/>
    <w:rsid w:val="00AE619F"/>
    <w:rsid w:val="00B01784"/>
    <w:rsid w:val="00B03BEE"/>
    <w:rsid w:val="00B0517E"/>
    <w:rsid w:val="00B10DB2"/>
    <w:rsid w:val="00B11314"/>
    <w:rsid w:val="00B138E3"/>
    <w:rsid w:val="00B173B8"/>
    <w:rsid w:val="00B178FA"/>
    <w:rsid w:val="00B2091D"/>
    <w:rsid w:val="00B23267"/>
    <w:rsid w:val="00B27149"/>
    <w:rsid w:val="00B3034D"/>
    <w:rsid w:val="00B33E0D"/>
    <w:rsid w:val="00B370A1"/>
    <w:rsid w:val="00B47090"/>
    <w:rsid w:val="00B51863"/>
    <w:rsid w:val="00B66E3E"/>
    <w:rsid w:val="00B67A79"/>
    <w:rsid w:val="00B72D62"/>
    <w:rsid w:val="00B735D4"/>
    <w:rsid w:val="00B73A0A"/>
    <w:rsid w:val="00B752E2"/>
    <w:rsid w:val="00B76751"/>
    <w:rsid w:val="00B77B95"/>
    <w:rsid w:val="00B831CD"/>
    <w:rsid w:val="00B873B4"/>
    <w:rsid w:val="00B90BA9"/>
    <w:rsid w:val="00B91B9D"/>
    <w:rsid w:val="00BA00FE"/>
    <w:rsid w:val="00BA0DD6"/>
    <w:rsid w:val="00BA4490"/>
    <w:rsid w:val="00BA4DA0"/>
    <w:rsid w:val="00BA607C"/>
    <w:rsid w:val="00BA7E93"/>
    <w:rsid w:val="00BB39DF"/>
    <w:rsid w:val="00BB3E2A"/>
    <w:rsid w:val="00BC02D2"/>
    <w:rsid w:val="00BC0479"/>
    <w:rsid w:val="00BC16F5"/>
    <w:rsid w:val="00BC287D"/>
    <w:rsid w:val="00BC4034"/>
    <w:rsid w:val="00BD32E5"/>
    <w:rsid w:val="00BD380F"/>
    <w:rsid w:val="00BD7EF3"/>
    <w:rsid w:val="00BE6767"/>
    <w:rsid w:val="00BE77CD"/>
    <w:rsid w:val="00BF46EE"/>
    <w:rsid w:val="00BF4EBC"/>
    <w:rsid w:val="00C102F3"/>
    <w:rsid w:val="00C11154"/>
    <w:rsid w:val="00C114D0"/>
    <w:rsid w:val="00C1254D"/>
    <w:rsid w:val="00C1490D"/>
    <w:rsid w:val="00C1771B"/>
    <w:rsid w:val="00C17A8E"/>
    <w:rsid w:val="00C23B68"/>
    <w:rsid w:val="00C24F70"/>
    <w:rsid w:val="00C26479"/>
    <w:rsid w:val="00C27087"/>
    <w:rsid w:val="00C27A5C"/>
    <w:rsid w:val="00C31BC3"/>
    <w:rsid w:val="00C33392"/>
    <w:rsid w:val="00C33479"/>
    <w:rsid w:val="00C34BC3"/>
    <w:rsid w:val="00C42559"/>
    <w:rsid w:val="00C432DD"/>
    <w:rsid w:val="00C4670B"/>
    <w:rsid w:val="00C53F8F"/>
    <w:rsid w:val="00C64D15"/>
    <w:rsid w:val="00C6532E"/>
    <w:rsid w:val="00C71C63"/>
    <w:rsid w:val="00C71D95"/>
    <w:rsid w:val="00C72016"/>
    <w:rsid w:val="00C72195"/>
    <w:rsid w:val="00C74B5D"/>
    <w:rsid w:val="00C74F74"/>
    <w:rsid w:val="00C7554B"/>
    <w:rsid w:val="00C7656F"/>
    <w:rsid w:val="00C777BA"/>
    <w:rsid w:val="00C8205E"/>
    <w:rsid w:val="00C82EB5"/>
    <w:rsid w:val="00C84D7A"/>
    <w:rsid w:val="00C87966"/>
    <w:rsid w:val="00C945CC"/>
    <w:rsid w:val="00C94B2C"/>
    <w:rsid w:val="00CA328E"/>
    <w:rsid w:val="00CA47FF"/>
    <w:rsid w:val="00CA583A"/>
    <w:rsid w:val="00CA5EC6"/>
    <w:rsid w:val="00CB171C"/>
    <w:rsid w:val="00CB2E6C"/>
    <w:rsid w:val="00CB5744"/>
    <w:rsid w:val="00CB674C"/>
    <w:rsid w:val="00CB7022"/>
    <w:rsid w:val="00CC02DE"/>
    <w:rsid w:val="00CC7DBC"/>
    <w:rsid w:val="00CD183B"/>
    <w:rsid w:val="00CD1BA3"/>
    <w:rsid w:val="00CD1D23"/>
    <w:rsid w:val="00CD3857"/>
    <w:rsid w:val="00CD6B7D"/>
    <w:rsid w:val="00CE0847"/>
    <w:rsid w:val="00CE0B6C"/>
    <w:rsid w:val="00CE4708"/>
    <w:rsid w:val="00CE4C50"/>
    <w:rsid w:val="00CE6858"/>
    <w:rsid w:val="00CE7450"/>
    <w:rsid w:val="00CF50BE"/>
    <w:rsid w:val="00CF6D0C"/>
    <w:rsid w:val="00D000EF"/>
    <w:rsid w:val="00D02664"/>
    <w:rsid w:val="00D059AB"/>
    <w:rsid w:val="00D05A3E"/>
    <w:rsid w:val="00D07378"/>
    <w:rsid w:val="00D1289C"/>
    <w:rsid w:val="00D22C47"/>
    <w:rsid w:val="00D277C2"/>
    <w:rsid w:val="00D30C20"/>
    <w:rsid w:val="00D313A0"/>
    <w:rsid w:val="00D326CA"/>
    <w:rsid w:val="00D34FD7"/>
    <w:rsid w:val="00D36C0A"/>
    <w:rsid w:val="00D42ABF"/>
    <w:rsid w:val="00D42F40"/>
    <w:rsid w:val="00D4304E"/>
    <w:rsid w:val="00D43FD0"/>
    <w:rsid w:val="00D5034A"/>
    <w:rsid w:val="00D52C55"/>
    <w:rsid w:val="00D55390"/>
    <w:rsid w:val="00D55EE8"/>
    <w:rsid w:val="00D56B12"/>
    <w:rsid w:val="00D56C05"/>
    <w:rsid w:val="00D56E4F"/>
    <w:rsid w:val="00D5785A"/>
    <w:rsid w:val="00D6375F"/>
    <w:rsid w:val="00D64C48"/>
    <w:rsid w:val="00D6680B"/>
    <w:rsid w:val="00D668CE"/>
    <w:rsid w:val="00D731C4"/>
    <w:rsid w:val="00D7348E"/>
    <w:rsid w:val="00D81AB1"/>
    <w:rsid w:val="00D82204"/>
    <w:rsid w:val="00D85BE0"/>
    <w:rsid w:val="00D86B38"/>
    <w:rsid w:val="00D87CCC"/>
    <w:rsid w:val="00D87D11"/>
    <w:rsid w:val="00D87FD7"/>
    <w:rsid w:val="00D90C26"/>
    <w:rsid w:val="00D926BA"/>
    <w:rsid w:val="00D9332B"/>
    <w:rsid w:val="00D950E6"/>
    <w:rsid w:val="00D97047"/>
    <w:rsid w:val="00DA3619"/>
    <w:rsid w:val="00DB0B88"/>
    <w:rsid w:val="00DB2D23"/>
    <w:rsid w:val="00DC2413"/>
    <w:rsid w:val="00DD14E9"/>
    <w:rsid w:val="00DD4F44"/>
    <w:rsid w:val="00DD686C"/>
    <w:rsid w:val="00DD7B95"/>
    <w:rsid w:val="00DE3FBD"/>
    <w:rsid w:val="00DE43F5"/>
    <w:rsid w:val="00DE461B"/>
    <w:rsid w:val="00DF0FA7"/>
    <w:rsid w:val="00DF1DC4"/>
    <w:rsid w:val="00E001F9"/>
    <w:rsid w:val="00E02281"/>
    <w:rsid w:val="00E05D0E"/>
    <w:rsid w:val="00E06363"/>
    <w:rsid w:val="00E128D8"/>
    <w:rsid w:val="00E22EB4"/>
    <w:rsid w:val="00E24A19"/>
    <w:rsid w:val="00E25A73"/>
    <w:rsid w:val="00E27A16"/>
    <w:rsid w:val="00E42FB2"/>
    <w:rsid w:val="00E47731"/>
    <w:rsid w:val="00E47B9A"/>
    <w:rsid w:val="00E51B8D"/>
    <w:rsid w:val="00E60E2E"/>
    <w:rsid w:val="00E67929"/>
    <w:rsid w:val="00E71A2D"/>
    <w:rsid w:val="00E7576C"/>
    <w:rsid w:val="00E823C1"/>
    <w:rsid w:val="00E83928"/>
    <w:rsid w:val="00E83D56"/>
    <w:rsid w:val="00E85542"/>
    <w:rsid w:val="00E869E3"/>
    <w:rsid w:val="00E87112"/>
    <w:rsid w:val="00E91408"/>
    <w:rsid w:val="00E952B9"/>
    <w:rsid w:val="00EA18DB"/>
    <w:rsid w:val="00EA66DF"/>
    <w:rsid w:val="00EB018E"/>
    <w:rsid w:val="00EB14DF"/>
    <w:rsid w:val="00EB1A4D"/>
    <w:rsid w:val="00EB3A07"/>
    <w:rsid w:val="00EB4596"/>
    <w:rsid w:val="00EB4EA6"/>
    <w:rsid w:val="00EB5675"/>
    <w:rsid w:val="00EB5B1F"/>
    <w:rsid w:val="00EC3EC5"/>
    <w:rsid w:val="00EC3F31"/>
    <w:rsid w:val="00EC587A"/>
    <w:rsid w:val="00EC706D"/>
    <w:rsid w:val="00ED20BC"/>
    <w:rsid w:val="00ED3698"/>
    <w:rsid w:val="00ED3A39"/>
    <w:rsid w:val="00EE205B"/>
    <w:rsid w:val="00EE265C"/>
    <w:rsid w:val="00EE434C"/>
    <w:rsid w:val="00EE4AF9"/>
    <w:rsid w:val="00EF06D5"/>
    <w:rsid w:val="00EF661B"/>
    <w:rsid w:val="00F01129"/>
    <w:rsid w:val="00F01CCA"/>
    <w:rsid w:val="00F02104"/>
    <w:rsid w:val="00F06C17"/>
    <w:rsid w:val="00F0768B"/>
    <w:rsid w:val="00F136D0"/>
    <w:rsid w:val="00F143A9"/>
    <w:rsid w:val="00F2124A"/>
    <w:rsid w:val="00F322F0"/>
    <w:rsid w:val="00F334CB"/>
    <w:rsid w:val="00F370BC"/>
    <w:rsid w:val="00F40AC0"/>
    <w:rsid w:val="00F4345D"/>
    <w:rsid w:val="00F50562"/>
    <w:rsid w:val="00F50A92"/>
    <w:rsid w:val="00F52066"/>
    <w:rsid w:val="00F55817"/>
    <w:rsid w:val="00F61270"/>
    <w:rsid w:val="00F61F67"/>
    <w:rsid w:val="00F63539"/>
    <w:rsid w:val="00F63C6E"/>
    <w:rsid w:val="00F640D7"/>
    <w:rsid w:val="00F64720"/>
    <w:rsid w:val="00F65774"/>
    <w:rsid w:val="00F67FF3"/>
    <w:rsid w:val="00F70DAF"/>
    <w:rsid w:val="00F720A6"/>
    <w:rsid w:val="00F725DA"/>
    <w:rsid w:val="00F74101"/>
    <w:rsid w:val="00F744FC"/>
    <w:rsid w:val="00F7536E"/>
    <w:rsid w:val="00F81F93"/>
    <w:rsid w:val="00F901F7"/>
    <w:rsid w:val="00F94EED"/>
    <w:rsid w:val="00F95814"/>
    <w:rsid w:val="00F95CE9"/>
    <w:rsid w:val="00FA01D9"/>
    <w:rsid w:val="00FA03D0"/>
    <w:rsid w:val="00FA2C9F"/>
    <w:rsid w:val="00FB6962"/>
    <w:rsid w:val="00FC1DFB"/>
    <w:rsid w:val="00FC35AB"/>
    <w:rsid w:val="00FC38A4"/>
    <w:rsid w:val="00FD0555"/>
    <w:rsid w:val="00FD5961"/>
    <w:rsid w:val="00FE0143"/>
    <w:rsid w:val="00FE5C56"/>
    <w:rsid w:val="00FE5E20"/>
    <w:rsid w:val="00FF3801"/>
    <w:rsid w:val="00FF3B27"/>
    <w:rsid w:val="00FF7DAB"/>
    <w:rsid w:val="05A16A72"/>
    <w:rsid w:val="06D8AF60"/>
    <w:rsid w:val="073F06BB"/>
    <w:rsid w:val="077FE61A"/>
    <w:rsid w:val="08F5E215"/>
    <w:rsid w:val="09EE638B"/>
    <w:rsid w:val="0AA44BB4"/>
    <w:rsid w:val="0ACC90D0"/>
    <w:rsid w:val="0ADF76B2"/>
    <w:rsid w:val="0BBAD32E"/>
    <w:rsid w:val="0BD3FB8B"/>
    <w:rsid w:val="0D56A38F"/>
    <w:rsid w:val="0F90623A"/>
    <w:rsid w:val="103C0710"/>
    <w:rsid w:val="11FC02B4"/>
    <w:rsid w:val="125903E3"/>
    <w:rsid w:val="14046166"/>
    <w:rsid w:val="16152B27"/>
    <w:rsid w:val="168554E9"/>
    <w:rsid w:val="17C3E5C2"/>
    <w:rsid w:val="1961CFFE"/>
    <w:rsid w:val="1A3AA72C"/>
    <w:rsid w:val="1BC3089C"/>
    <w:rsid w:val="1E608A4C"/>
    <w:rsid w:val="22299F00"/>
    <w:rsid w:val="23B80629"/>
    <w:rsid w:val="24D19B83"/>
    <w:rsid w:val="254A1050"/>
    <w:rsid w:val="25BE4317"/>
    <w:rsid w:val="27641979"/>
    <w:rsid w:val="2992021C"/>
    <w:rsid w:val="2B38482F"/>
    <w:rsid w:val="2CC9A2DE"/>
    <w:rsid w:val="2EC2186D"/>
    <w:rsid w:val="2F4BFD00"/>
    <w:rsid w:val="303CA115"/>
    <w:rsid w:val="305DE8CE"/>
    <w:rsid w:val="30843988"/>
    <w:rsid w:val="308AC3DE"/>
    <w:rsid w:val="31CEF21F"/>
    <w:rsid w:val="35C82C88"/>
    <w:rsid w:val="3653F70D"/>
    <w:rsid w:val="37730EB6"/>
    <w:rsid w:val="38A3281C"/>
    <w:rsid w:val="3AC708C5"/>
    <w:rsid w:val="3C4F8C62"/>
    <w:rsid w:val="3C6BC0A1"/>
    <w:rsid w:val="3D499433"/>
    <w:rsid w:val="3DD3899B"/>
    <w:rsid w:val="3E7F11C8"/>
    <w:rsid w:val="3E8E5461"/>
    <w:rsid w:val="3FC52A29"/>
    <w:rsid w:val="433D3DA1"/>
    <w:rsid w:val="434F082C"/>
    <w:rsid w:val="43A98450"/>
    <w:rsid w:val="4911599D"/>
    <w:rsid w:val="4A98E446"/>
    <w:rsid w:val="4B48DF3A"/>
    <w:rsid w:val="4C34B4A7"/>
    <w:rsid w:val="4D0BB146"/>
    <w:rsid w:val="4DD08508"/>
    <w:rsid w:val="4E00618A"/>
    <w:rsid w:val="4E807FFC"/>
    <w:rsid w:val="4FA7E91C"/>
    <w:rsid w:val="57A6567F"/>
    <w:rsid w:val="5905D7F7"/>
    <w:rsid w:val="5CA89624"/>
    <w:rsid w:val="5FB0E4E2"/>
    <w:rsid w:val="66B01394"/>
    <w:rsid w:val="682BFA58"/>
    <w:rsid w:val="6A9762EC"/>
    <w:rsid w:val="6ACD1960"/>
    <w:rsid w:val="6B7F4848"/>
    <w:rsid w:val="719A78C5"/>
    <w:rsid w:val="75711A28"/>
    <w:rsid w:val="762592DB"/>
    <w:rsid w:val="76539406"/>
    <w:rsid w:val="78F88DF8"/>
    <w:rsid w:val="7A4C9A75"/>
    <w:rsid w:val="7A9E2493"/>
    <w:rsid w:val="7B2B2B84"/>
    <w:rsid w:val="7C0ADD38"/>
    <w:rsid w:val="7D0F56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16D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1" w:qFormat="1"/>
    <w:lsdException w:name="heading 3" w:qFormat="1"/>
    <w:lsdException w:name="heading 6" w:semiHidden="1" w:unhideWhenUsed="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4225"/>
    <w:pPr>
      <w:spacing w:before="120" w:after="120" w:line="264" w:lineRule="auto"/>
    </w:pPr>
    <w:rPr>
      <w:rFonts w:asciiTheme="minorHAnsi" w:hAnsiTheme="minorHAnsi"/>
      <w:sz w:val="22"/>
      <w:szCs w:val="24"/>
    </w:rPr>
  </w:style>
  <w:style w:type="paragraph" w:styleId="Heading1">
    <w:name w:val="heading 1"/>
    <w:basedOn w:val="Normal"/>
    <w:next w:val="Normal"/>
    <w:uiPriority w:val="1"/>
    <w:qFormat/>
    <w:rsid w:val="00D34FD7"/>
    <w:pPr>
      <w:keepNext/>
      <w:keepLines/>
      <w:pBdr>
        <w:top w:val="single" w:sz="48" w:space="14" w:color="0B519E"/>
        <w:left w:val="single" w:sz="48" w:space="4" w:color="0B519E"/>
        <w:bottom w:val="single" w:sz="48" w:space="10" w:color="0B519E"/>
        <w:right w:val="single" w:sz="48" w:space="4" w:color="0B519E"/>
      </w:pBdr>
      <w:shd w:val="clear" w:color="auto" w:fill="0B519E"/>
      <w:spacing w:before="0" w:after="240" w:line="192" w:lineRule="auto"/>
      <w:ind w:right="-1418" w:hanging="1418"/>
      <w:contextualSpacing/>
      <w:outlineLvl w:val="0"/>
    </w:pPr>
    <w:rPr>
      <w:rFonts w:asciiTheme="majorHAnsi" w:hAnsiTheme="majorHAnsi"/>
      <w:b/>
      <w:caps/>
      <w:color w:val="FFFFFF" w:themeColor="background1"/>
      <w:sz w:val="80"/>
      <w:szCs w:val="44"/>
    </w:rPr>
  </w:style>
  <w:style w:type="paragraph" w:styleId="Heading2">
    <w:name w:val="heading 2"/>
    <w:basedOn w:val="Normal"/>
    <w:next w:val="Normal"/>
    <w:link w:val="Heading2Char"/>
    <w:uiPriority w:val="1"/>
    <w:qFormat/>
    <w:rsid w:val="00567BD0"/>
    <w:pPr>
      <w:keepNext/>
      <w:keepLines/>
      <w:spacing w:before="240" w:line="240" w:lineRule="auto"/>
      <w:contextualSpacing/>
      <w:outlineLvl w:val="1"/>
    </w:pPr>
    <w:rPr>
      <w:b/>
      <w:color w:val="0B519E"/>
      <w:sz w:val="32"/>
      <w:szCs w:val="44"/>
    </w:rPr>
  </w:style>
  <w:style w:type="paragraph" w:styleId="Heading3">
    <w:name w:val="heading 3"/>
    <w:basedOn w:val="Normal"/>
    <w:next w:val="Normal"/>
    <w:uiPriority w:val="1"/>
    <w:qFormat/>
    <w:rsid w:val="00C114D0"/>
    <w:pPr>
      <w:keepNext/>
      <w:keepLines/>
      <w:spacing w:before="240" w:line="240" w:lineRule="auto"/>
      <w:contextualSpacing/>
      <w:outlineLvl w:val="2"/>
    </w:pPr>
    <w:rPr>
      <w:rFonts w:asciiTheme="majorHAnsi" w:hAnsiTheme="majorHAnsi"/>
      <w:b/>
      <w:sz w:val="24"/>
      <w:szCs w:val="28"/>
    </w:rPr>
  </w:style>
  <w:style w:type="paragraph" w:styleId="Heading4">
    <w:name w:val="heading 4"/>
    <w:basedOn w:val="Normal"/>
    <w:next w:val="Normal"/>
    <w:uiPriority w:val="1"/>
    <w:rsid w:val="00480D63"/>
    <w:pPr>
      <w:keepNext/>
      <w:keepLines/>
      <w:spacing w:before="200"/>
      <w:contextualSpacing/>
      <w:outlineLvl w:val="3"/>
    </w:pPr>
    <w:rPr>
      <w:b/>
    </w:rPr>
  </w:style>
  <w:style w:type="paragraph" w:styleId="Heading5">
    <w:name w:val="heading 5"/>
    <w:basedOn w:val="Normal"/>
    <w:next w:val="Normal"/>
    <w:link w:val="Heading5Char"/>
    <w:uiPriority w:val="1"/>
    <w:rsid w:val="00B10DB2"/>
    <w:pPr>
      <w:keepNext/>
      <w:spacing w:before="240"/>
      <w:contextualSpacing/>
      <w:outlineLvl w:val="4"/>
    </w:pPr>
    <w:rPr>
      <w:b/>
      <w:sz w:val="20"/>
      <w:szCs w:val="22"/>
    </w:rPr>
  </w:style>
  <w:style w:type="paragraph" w:styleId="Heading6">
    <w:name w:val="heading 6"/>
    <w:basedOn w:val="Normal"/>
    <w:next w:val="Normal"/>
    <w:link w:val="Heading6Char"/>
    <w:uiPriority w:val="1"/>
    <w:unhideWhenUsed/>
    <w:rsid w:val="000573C4"/>
    <w:pPr>
      <w:keepNext/>
      <w:spacing w:before="200"/>
      <w:contextualSpacing/>
      <w:outlineLvl w:val="5"/>
    </w:pPr>
    <w:rPr>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4EED"/>
    <w:pPr>
      <w:tabs>
        <w:tab w:val="center" w:pos="4153"/>
        <w:tab w:val="right" w:pos="8306"/>
      </w:tabs>
      <w:spacing w:before="0"/>
    </w:pPr>
    <w:rPr>
      <w:b/>
      <w:sz w:val="26"/>
    </w:rPr>
  </w:style>
  <w:style w:type="paragraph" w:styleId="Title">
    <w:name w:val="Title"/>
    <w:basedOn w:val="Normal"/>
    <w:rsid w:val="00592D4D"/>
    <w:pPr>
      <w:spacing w:before="600" w:line="240" w:lineRule="auto"/>
      <w:ind w:right="284"/>
      <w:contextualSpacing/>
      <w:jc w:val="center"/>
      <w:outlineLvl w:val="0"/>
    </w:pPr>
    <w:rPr>
      <w:rFonts w:cs="Arial"/>
      <w:b/>
      <w:bCs/>
      <w:kern w:val="28"/>
      <w:sz w:val="76"/>
      <w:szCs w:val="32"/>
    </w:rPr>
  </w:style>
  <w:style w:type="paragraph" w:styleId="ListBullet">
    <w:name w:val="List Bullet"/>
    <w:basedOn w:val="Normal"/>
    <w:uiPriority w:val="1"/>
    <w:qFormat/>
    <w:rsid w:val="00852119"/>
    <w:pPr>
      <w:numPr>
        <w:numId w:val="1"/>
      </w:numPr>
      <w:spacing w:before="60" w:after="60"/>
      <w:ind w:left="357" w:hanging="357"/>
    </w:pPr>
  </w:style>
  <w:style w:type="paragraph" w:styleId="Footer">
    <w:name w:val="footer"/>
    <w:rsid w:val="004D5E70"/>
    <w:rPr>
      <w:rFonts w:ascii="Arial" w:hAnsi="Arial"/>
      <w:sz w:val="16"/>
      <w:szCs w:val="24"/>
    </w:rPr>
  </w:style>
  <w:style w:type="character" w:styleId="Hyperlink">
    <w:name w:val="Hyperlink"/>
    <w:basedOn w:val="DefaultParagraphFont"/>
    <w:uiPriority w:val="99"/>
    <w:rsid w:val="00CA328E"/>
    <w:rPr>
      <w:b/>
      <w:color w:val="C20000" w:themeColor="accent1"/>
      <w:u w:val="single"/>
    </w:rPr>
  </w:style>
  <w:style w:type="character" w:customStyle="1" w:styleId="Heading5Char">
    <w:name w:val="Heading 5 Char"/>
    <w:basedOn w:val="DefaultParagraphFont"/>
    <w:link w:val="Heading5"/>
    <w:uiPriority w:val="1"/>
    <w:rsid w:val="004D5E70"/>
    <w:rPr>
      <w:rFonts w:ascii="Arial" w:hAnsi="Arial"/>
      <w:b/>
      <w:szCs w:val="22"/>
    </w:rPr>
  </w:style>
  <w:style w:type="table" w:styleId="TableGrid">
    <w:name w:val="Table Grid"/>
    <w:basedOn w:val="TableNormal"/>
    <w:rsid w:val="00142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0E7009"/>
    <w:pPr>
      <w:spacing w:before="40" w:after="40" w:line="228" w:lineRule="auto"/>
    </w:pPr>
    <w:rPr>
      <w:sz w:val="18"/>
      <w:szCs w:val="20"/>
    </w:rPr>
  </w:style>
  <w:style w:type="character" w:customStyle="1" w:styleId="FootnoteTextChar">
    <w:name w:val="Footnote Text Char"/>
    <w:basedOn w:val="DefaultParagraphFont"/>
    <w:link w:val="FootnoteText"/>
    <w:rsid w:val="000E7009"/>
    <w:rPr>
      <w:rFonts w:asciiTheme="minorHAnsi" w:hAnsiTheme="minorHAnsi"/>
      <w:sz w:val="18"/>
    </w:rPr>
  </w:style>
  <w:style w:type="character" w:styleId="FootnoteReference">
    <w:name w:val="footnote reference"/>
    <w:basedOn w:val="DefaultParagraphFont"/>
    <w:rsid w:val="00CB5744"/>
    <w:rPr>
      <w:vertAlign w:val="superscript"/>
    </w:rPr>
  </w:style>
  <w:style w:type="character" w:customStyle="1" w:styleId="Heading2Char">
    <w:name w:val="Heading 2 Char"/>
    <w:basedOn w:val="DefaultParagraphFont"/>
    <w:link w:val="Heading2"/>
    <w:uiPriority w:val="1"/>
    <w:rsid w:val="00567BD0"/>
    <w:rPr>
      <w:rFonts w:asciiTheme="minorHAnsi" w:hAnsiTheme="minorHAnsi"/>
      <w:b/>
      <w:color w:val="0B519E"/>
      <w:sz w:val="32"/>
      <w:szCs w:val="44"/>
    </w:rPr>
  </w:style>
  <w:style w:type="paragraph" w:styleId="TOC1">
    <w:name w:val="toc 1"/>
    <w:basedOn w:val="Normal"/>
    <w:next w:val="Normal"/>
    <w:autoRedefine/>
    <w:uiPriority w:val="39"/>
    <w:rsid w:val="00764B74"/>
    <w:pPr>
      <w:tabs>
        <w:tab w:val="right" w:pos="9060"/>
      </w:tabs>
    </w:pPr>
    <w:rPr>
      <w:rFonts w:ascii="Arial Bold" w:hAnsi="Arial Bold"/>
      <w:b/>
      <w:caps/>
      <w:noProof/>
      <w:sz w:val="24"/>
    </w:rPr>
  </w:style>
  <w:style w:type="paragraph" w:styleId="TOC2">
    <w:name w:val="toc 2"/>
    <w:basedOn w:val="Normal"/>
    <w:next w:val="Normal"/>
    <w:autoRedefine/>
    <w:uiPriority w:val="39"/>
    <w:rsid w:val="00476B04"/>
    <w:pPr>
      <w:spacing w:before="80" w:after="80"/>
      <w:ind w:right="3119"/>
    </w:pPr>
    <w:rPr>
      <w:noProof/>
    </w:rPr>
  </w:style>
  <w:style w:type="paragraph" w:customStyle="1" w:styleId="TableText">
    <w:name w:val="Table Text"/>
    <w:basedOn w:val="Normal"/>
    <w:uiPriority w:val="29"/>
    <w:qFormat/>
    <w:rsid w:val="00852119"/>
    <w:pPr>
      <w:spacing w:before="60" w:after="60"/>
    </w:pPr>
  </w:style>
  <w:style w:type="character" w:customStyle="1" w:styleId="Heading6Char">
    <w:name w:val="Heading 6 Char"/>
    <w:basedOn w:val="DefaultParagraphFont"/>
    <w:link w:val="Heading6"/>
    <w:uiPriority w:val="1"/>
    <w:rsid w:val="004D5E70"/>
    <w:rPr>
      <w:rFonts w:ascii="Arial" w:hAnsi="Arial"/>
      <w:b/>
      <w:szCs w:val="22"/>
    </w:rPr>
  </w:style>
  <w:style w:type="table" w:customStyle="1" w:styleId="DefaultTable">
    <w:name w:val="Default Table"/>
    <w:basedOn w:val="TableNormal"/>
    <w:uiPriority w:val="99"/>
    <w:rsid w:val="00933BFC"/>
    <w:rPr>
      <w:rFonts w:ascii="Arial" w:hAnsi="Arial"/>
      <w:sz w:val="22"/>
    </w:rPr>
    <w:tblPr>
      <w:tblStyleRowBandSize w:val="1"/>
      <w:tblInd w:w="17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28" w:type="dxa"/>
        <w:left w:w="170" w:type="dxa"/>
        <w:bottom w:w="28" w:type="dxa"/>
        <w:right w:w="170" w:type="dxa"/>
      </w:tblCellMar>
    </w:tblPr>
    <w:trPr>
      <w:cantSplit/>
    </w:trPr>
    <w:tcPr>
      <w:shd w:val="clear" w:color="auto" w:fill="E1E5E8"/>
    </w:tcPr>
    <w:tblStylePr w:type="firstRow">
      <w:rPr>
        <w:b w:val="0"/>
        <w:color w:val="C20000" w:themeColor="text2"/>
      </w:rPr>
      <w:tblPr/>
      <w:tcPr>
        <w:shd w:val="clear" w:color="auto" w:fill="E1E5E8"/>
      </w:tcPr>
    </w:tblStylePr>
    <w:tblStylePr w:type="lastRow">
      <w:rPr>
        <w:color w:val="000000" w:themeColor="text1"/>
      </w:rPr>
      <w:tblPr/>
      <w:tcPr>
        <w:shd w:val="clear" w:color="auto" w:fill="A3ADB2" w:themeFill="accent4"/>
      </w:tcPr>
    </w:tblStylePr>
    <w:tblStylePr w:type="band1Horz">
      <w:tblPr/>
      <w:tcPr>
        <w:shd w:val="clear" w:color="auto" w:fill="C6CED4"/>
      </w:tcPr>
    </w:tblStylePr>
    <w:tblStylePr w:type="band2Horz">
      <w:tblPr/>
      <w:tcPr>
        <w:shd w:val="clear" w:color="auto" w:fill="E1E5E8"/>
      </w:tcPr>
    </w:tblStylePr>
  </w:style>
  <w:style w:type="paragraph" w:customStyle="1" w:styleId="TableHeading">
    <w:name w:val="Table Heading"/>
    <w:basedOn w:val="Normal"/>
    <w:rsid w:val="00BF4EBC"/>
    <w:pPr>
      <w:spacing w:before="60" w:after="60" w:line="240" w:lineRule="auto"/>
    </w:pPr>
    <w:rPr>
      <w:b/>
      <w:color w:val="C20000" w:themeColor="text2"/>
      <w:sz w:val="32"/>
    </w:rPr>
  </w:style>
  <w:style w:type="paragraph" w:customStyle="1" w:styleId="QuoteSource">
    <w:name w:val="Quote Source"/>
    <w:basedOn w:val="Normal"/>
    <w:next w:val="Normal"/>
    <w:uiPriority w:val="29"/>
    <w:qFormat/>
    <w:rsid w:val="000E7009"/>
    <w:pPr>
      <w:spacing w:after="240"/>
      <w:contextualSpacing/>
    </w:pPr>
    <w:rPr>
      <w:i/>
      <w:sz w:val="18"/>
    </w:rPr>
  </w:style>
  <w:style w:type="paragraph" w:styleId="TOCHeading">
    <w:name w:val="TOC Heading"/>
    <w:basedOn w:val="Heading1"/>
    <w:next w:val="Normal"/>
    <w:uiPriority w:val="39"/>
    <w:rsid w:val="00C11154"/>
    <w:pPr>
      <w:spacing w:after="300"/>
      <w:outlineLvl w:val="9"/>
    </w:pPr>
    <w:rPr>
      <w:rFonts w:eastAsiaTheme="majorEastAsia" w:cstheme="majorBidi"/>
      <w:bCs/>
      <w:szCs w:val="28"/>
      <w:lang w:val="en-US" w:eastAsia="ja-JP"/>
    </w:rPr>
  </w:style>
  <w:style w:type="character" w:styleId="FollowedHyperlink">
    <w:name w:val="FollowedHyperlink"/>
    <w:basedOn w:val="DefaultParagraphFont"/>
    <w:rsid w:val="000E39EF"/>
    <w:rPr>
      <w:color w:val="AACFE4" w:themeColor="followedHyperlink"/>
      <w:u w:val="single"/>
    </w:rPr>
  </w:style>
  <w:style w:type="paragraph" w:styleId="TOC3">
    <w:name w:val="toc 3"/>
    <w:basedOn w:val="Normal"/>
    <w:next w:val="Normal"/>
    <w:autoRedefine/>
    <w:uiPriority w:val="39"/>
    <w:rsid w:val="00476B04"/>
    <w:pPr>
      <w:spacing w:after="100"/>
      <w:ind w:left="442"/>
    </w:pPr>
  </w:style>
  <w:style w:type="paragraph" w:styleId="Subtitle">
    <w:name w:val="Subtitle"/>
    <w:basedOn w:val="Title"/>
    <w:next w:val="Normal"/>
    <w:link w:val="SubtitleChar"/>
    <w:rsid w:val="00592D4D"/>
    <w:pPr>
      <w:spacing w:before="240" w:after="0"/>
      <w:ind w:right="0"/>
    </w:pPr>
    <w:rPr>
      <w:b w:val="0"/>
      <w:sz w:val="36"/>
      <w:szCs w:val="36"/>
    </w:rPr>
  </w:style>
  <w:style w:type="character" w:customStyle="1" w:styleId="SubtitleChar">
    <w:name w:val="Subtitle Char"/>
    <w:basedOn w:val="DefaultParagraphFont"/>
    <w:link w:val="Subtitle"/>
    <w:rsid w:val="00592D4D"/>
    <w:rPr>
      <w:rFonts w:asciiTheme="minorHAnsi" w:hAnsiTheme="minorHAnsi" w:cs="Arial"/>
      <w:bCs/>
      <w:kern w:val="28"/>
      <w:sz w:val="36"/>
      <w:szCs w:val="36"/>
    </w:rPr>
  </w:style>
  <w:style w:type="paragraph" w:styleId="ListBullet2">
    <w:name w:val="List Bullet 2"/>
    <w:basedOn w:val="ListBullet"/>
    <w:uiPriority w:val="1"/>
    <w:rsid w:val="00516150"/>
    <w:pPr>
      <w:numPr>
        <w:ilvl w:val="1"/>
      </w:numPr>
    </w:pPr>
  </w:style>
  <w:style w:type="paragraph" w:styleId="Quote">
    <w:name w:val="Quote"/>
    <w:next w:val="QuoteSource"/>
    <w:link w:val="QuoteChar"/>
    <w:uiPriority w:val="29"/>
    <w:qFormat/>
    <w:rsid w:val="00295BFF"/>
    <w:pPr>
      <w:spacing w:line="264" w:lineRule="auto"/>
    </w:pPr>
    <w:rPr>
      <w:rFonts w:asciiTheme="minorHAnsi" w:hAnsiTheme="minorHAnsi"/>
      <w:b/>
      <w:sz w:val="28"/>
      <w:szCs w:val="30"/>
    </w:rPr>
  </w:style>
  <w:style w:type="character" w:styleId="Emphasis">
    <w:name w:val="Emphasis"/>
    <w:basedOn w:val="DefaultParagraphFont"/>
    <w:uiPriority w:val="99"/>
    <w:qFormat/>
    <w:rsid w:val="004D5E70"/>
    <w:rPr>
      <w:rFonts w:ascii="Arial" w:hAnsi="Arial"/>
      <w:i/>
      <w:iCs/>
    </w:rPr>
  </w:style>
  <w:style w:type="character" w:styleId="Strong">
    <w:name w:val="Strong"/>
    <w:basedOn w:val="DefaultParagraphFont"/>
    <w:uiPriority w:val="99"/>
    <w:qFormat/>
    <w:rsid w:val="004D5E70"/>
    <w:rPr>
      <w:rFonts w:ascii="Arial" w:hAnsi="Arial"/>
      <w:b/>
      <w:bCs/>
    </w:rPr>
  </w:style>
  <w:style w:type="character" w:customStyle="1" w:styleId="QuoteChar">
    <w:name w:val="Quote Char"/>
    <w:basedOn w:val="DefaultParagraphFont"/>
    <w:link w:val="Quote"/>
    <w:uiPriority w:val="29"/>
    <w:rsid w:val="00295BFF"/>
    <w:rPr>
      <w:rFonts w:asciiTheme="minorHAnsi" w:hAnsiTheme="minorHAnsi"/>
      <w:b/>
      <w:sz w:val="28"/>
      <w:szCs w:val="30"/>
    </w:rPr>
  </w:style>
  <w:style w:type="paragraph" w:styleId="BalloonText">
    <w:name w:val="Balloon Text"/>
    <w:basedOn w:val="Normal"/>
    <w:link w:val="BalloonTextChar"/>
    <w:rsid w:val="00061AD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061AD3"/>
    <w:rPr>
      <w:rFonts w:ascii="Tahoma" w:hAnsi="Tahoma" w:cs="Tahoma"/>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rFonts w:asciiTheme="minorHAnsi" w:hAnsiTheme="minorHAnsi"/>
    </w:rPr>
  </w:style>
  <w:style w:type="character" w:styleId="CommentReference">
    <w:name w:val="annotation reference"/>
    <w:basedOn w:val="DefaultParagraphFont"/>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55177061">
      <w:bodyDiv w:val="1"/>
      <w:marLeft w:val="0"/>
      <w:marRight w:val="0"/>
      <w:marTop w:val="0"/>
      <w:marBottom w:val="0"/>
      <w:divBdr>
        <w:top w:val="none" w:sz="0" w:space="0" w:color="auto"/>
        <w:left w:val="none" w:sz="0" w:space="0" w:color="auto"/>
        <w:bottom w:val="none" w:sz="0" w:space="0" w:color="auto"/>
        <w:right w:val="none" w:sz="0" w:space="0" w:color="auto"/>
      </w:divBdr>
    </w:div>
    <w:div w:id="1508666252">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NAB Annual Review">
      <a:dk1>
        <a:srgbClr val="000000"/>
      </a:dk1>
      <a:lt1>
        <a:srgbClr val="FFFFFF"/>
      </a:lt1>
      <a:dk2>
        <a:srgbClr val="C20000"/>
      </a:dk2>
      <a:lt2>
        <a:srgbClr val="F2F4F6"/>
      </a:lt2>
      <a:accent1>
        <a:srgbClr val="C20000"/>
      </a:accent1>
      <a:accent2>
        <a:srgbClr val="000000"/>
      </a:accent2>
      <a:accent3>
        <a:srgbClr val="4C626C"/>
      </a:accent3>
      <a:accent4>
        <a:srgbClr val="A3ADB2"/>
      </a:accent4>
      <a:accent5>
        <a:srgbClr val="444694"/>
      </a:accent5>
      <a:accent6>
        <a:srgbClr val="9A9AC8"/>
      </a:accent6>
      <a:hlink>
        <a:srgbClr val="1E5AA3"/>
      </a:hlink>
      <a:folHlink>
        <a:srgbClr val="AACFE4"/>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61846F44632147A887F905F690A530" ma:contentTypeVersion="6" ma:contentTypeDescription="Create a new document." ma:contentTypeScope="" ma:versionID="77251b573ebd7ee4cd4063975cac59a4">
  <xsd:schema xmlns:xsd="http://www.w3.org/2001/XMLSchema" xmlns:xs="http://www.w3.org/2001/XMLSchema" xmlns:p="http://schemas.microsoft.com/office/2006/metadata/properties" xmlns:ns2="cf45353c-f99a-49d2-9800-eca9154f4acd" xmlns:ns3="9c53151c-f855-4889-ba71-7fe09d30c044" targetNamespace="http://schemas.microsoft.com/office/2006/metadata/properties" ma:root="true" ma:fieldsID="918fe04dc895ccd073fa61133dd0607f" ns2:_="" ns3:_="">
    <xsd:import namespace="cf45353c-f99a-49d2-9800-eca9154f4acd"/>
    <xsd:import namespace="9c53151c-f855-4889-ba71-7fe09d30c0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5353c-f99a-49d2-9800-eca9154f4a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53151c-f855-4889-ba71-7fe09d30c0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290E7-8A77-4C66-99EB-58E0F0B412E1}">
  <ds:schemaRefs>
    <ds:schemaRef ds:uri="http://schemas.microsoft.com/sharepoint/v3/contenttype/forms"/>
  </ds:schemaRefs>
</ds:datastoreItem>
</file>

<file path=customXml/itemProps2.xml><?xml version="1.0" encoding="utf-8"?>
<ds:datastoreItem xmlns:ds="http://schemas.openxmlformats.org/officeDocument/2006/customXml" ds:itemID="{5012FEAC-6A22-47DA-99B1-872F62869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5353c-f99a-49d2-9800-eca9154f4acd"/>
    <ds:schemaRef ds:uri="9c53151c-f855-4889-ba71-7fe09d30c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DC5FC5-FBA9-490D-8DAA-67FB3803EE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EBAE30-DE2E-484E-A8FB-BF8633C76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1286</Words>
  <Characters>6906</Characters>
  <Application>Microsoft Office Word</Application>
  <DocSecurity>0</DocSecurity>
  <Lines>209</Lines>
  <Paragraphs>112</Paragraphs>
  <ScaleCrop>false</ScaleCrop>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NAB accessibility action plan</dc:title>
  <dc:creator/>
  <cp:lastModifiedBy/>
  <cp:revision>12</cp:revision>
  <dcterms:created xsi:type="dcterms:W3CDTF">2021-12-15T21:09:00Z</dcterms:created>
  <dcterms:modified xsi:type="dcterms:W3CDTF">2022-08-25T00:01:00Z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0x010100E261846F44632147A887F905F690A530</vt:lpwstr>
  </property>
</Properties>
</file>