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484" w:rsidRDefault="009F4484" w:rsidP="00603635"/>
    <w:p w:rsidR="009F4484" w:rsidRDefault="009F4484" w:rsidP="00603635"/>
    <w:p w:rsidR="009F4484" w:rsidRDefault="009F4484" w:rsidP="00603635"/>
    <w:p w:rsidR="009F4484" w:rsidRDefault="009F4484" w:rsidP="00603635"/>
    <w:p w:rsidR="009F4484" w:rsidRPr="007A40FA" w:rsidRDefault="009F4484" w:rsidP="00603635">
      <w:pPr>
        <w:rPr>
          <w:b/>
          <w:sz w:val="40"/>
          <w:szCs w:val="40"/>
        </w:rPr>
      </w:pPr>
      <w:r w:rsidRPr="007A40FA">
        <w:rPr>
          <w:b/>
          <w:sz w:val="40"/>
          <w:szCs w:val="40"/>
        </w:rPr>
        <w:t xml:space="preserve">Royal Commission </w:t>
      </w:r>
      <w:r w:rsidR="007A40FA" w:rsidRPr="007A40FA">
        <w:rPr>
          <w:b/>
          <w:sz w:val="40"/>
          <w:szCs w:val="40"/>
        </w:rPr>
        <w:t>into Historical Abuse in State Care and in the Care of Faith-based Institutions</w:t>
      </w:r>
    </w:p>
    <w:p w:rsidR="00AE478C" w:rsidRPr="007A40FA" w:rsidRDefault="009F4484" w:rsidP="007A40FA">
      <w:pPr>
        <w:spacing w:after="0"/>
        <w:rPr>
          <w:b/>
          <w:sz w:val="40"/>
          <w:szCs w:val="40"/>
        </w:rPr>
      </w:pPr>
      <w:r w:rsidRPr="007A40FA">
        <w:rPr>
          <w:b/>
          <w:sz w:val="40"/>
          <w:szCs w:val="40"/>
        </w:rPr>
        <w:t xml:space="preserve">Quarterly Report </w:t>
      </w:r>
    </w:p>
    <w:p w:rsidR="009F4484" w:rsidRPr="009C11AE" w:rsidRDefault="009F4484" w:rsidP="007A40FA">
      <w:pPr>
        <w:spacing w:before="0" w:after="0"/>
        <w:rPr>
          <w:b/>
          <w:sz w:val="40"/>
          <w:szCs w:val="40"/>
        </w:rPr>
      </w:pPr>
      <w:r w:rsidRPr="009C11AE">
        <w:rPr>
          <w:b/>
          <w:sz w:val="40"/>
          <w:szCs w:val="40"/>
        </w:rPr>
        <w:t>As at 3</w:t>
      </w:r>
      <w:r w:rsidR="00ED42A9" w:rsidRPr="009C11AE">
        <w:rPr>
          <w:b/>
          <w:sz w:val="40"/>
          <w:szCs w:val="40"/>
        </w:rPr>
        <w:t>0</w:t>
      </w:r>
      <w:r w:rsidRPr="009C11AE">
        <w:rPr>
          <w:b/>
          <w:sz w:val="40"/>
          <w:szCs w:val="40"/>
        </w:rPr>
        <w:t xml:space="preserve"> </w:t>
      </w:r>
      <w:r w:rsidR="00ED42A9" w:rsidRPr="009C11AE">
        <w:rPr>
          <w:b/>
          <w:sz w:val="40"/>
          <w:szCs w:val="40"/>
        </w:rPr>
        <w:t>Ju</w:t>
      </w:r>
      <w:r w:rsidR="009C11AE" w:rsidRPr="009C11AE">
        <w:rPr>
          <w:b/>
          <w:sz w:val="40"/>
          <w:szCs w:val="40"/>
        </w:rPr>
        <w:t>ne</w:t>
      </w:r>
      <w:r w:rsidRPr="009C11AE">
        <w:rPr>
          <w:b/>
          <w:sz w:val="40"/>
          <w:szCs w:val="40"/>
        </w:rPr>
        <w:t xml:space="preserve"> 2019</w:t>
      </w:r>
    </w:p>
    <w:p w:rsidR="009F4484" w:rsidRDefault="009F4484" w:rsidP="00603635"/>
    <w:p w:rsidR="009F4484" w:rsidRDefault="009F4484">
      <w:pPr>
        <w:keepLines w:val="0"/>
      </w:pPr>
      <w:r>
        <w:br w:type="page"/>
      </w:r>
    </w:p>
    <w:p w:rsidR="007B35AD" w:rsidRDefault="007B35AD" w:rsidP="00603635">
      <w:pPr>
        <w:rPr>
          <w:b/>
        </w:rPr>
      </w:pPr>
      <w:r>
        <w:rPr>
          <w:b/>
        </w:rPr>
        <w:lastRenderedPageBreak/>
        <w:t>Purpose</w:t>
      </w:r>
    </w:p>
    <w:p w:rsidR="007B35AD" w:rsidRPr="001778CF" w:rsidRDefault="007B35AD" w:rsidP="00603635">
      <w:r w:rsidRPr="007B35AD">
        <w:t>This report update</w:t>
      </w:r>
      <w:r>
        <w:t>s</w:t>
      </w:r>
      <w:r w:rsidRPr="007B35AD">
        <w:t xml:space="preserve"> </w:t>
      </w:r>
      <w:r>
        <w:t xml:space="preserve">you </w:t>
      </w:r>
      <w:r w:rsidR="005C0CD3">
        <w:t xml:space="preserve">about </w:t>
      </w:r>
      <w:r>
        <w:t xml:space="preserve">the </w:t>
      </w:r>
      <w:r w:rsidR="00441DD0">
        <w:t>high-level</w:t>
      </w:r>
      <w:r w:rsidR="005C0CD3">
        <w:t xml:space="preserve"> activity of the </w:t>
      </w:r>
      <w:r w:rsidR="005C0CD3" w:rsidRPr="007B35AD">
        <w:t>Royal Commission into Historical Abuse in State Care and in the Care of Faith-based Institutions</w:t>
      </w:r>
      <w:r w:rsidR="005C0CD3">
        <w:t xml:space="preserve"> (the Commission) and </w:t>
      </w:r>
      <w:r w:rsidRPr="007B35AD">
        <w:t xml:space="preserve">year-to-date </w:t>
      </w:r>
      <w:r>
        <w:t xml:space="preserve">spend through to </w:t>
      </w:r>
      <w:r w:rsidR="00D111C1">
        <w:t>30 J</w:t>
      </w:r>
      <w:r w:rsidR="00475FF4">
        <w:t>une</w:t>
      </w:r>
      <w:r>
        <w:t xml:space="preserve"> 2019</w:t>
      </w:r>
      <w:r w:rsidRPr="007B35AD">
        <w:t xml:space="preserve">. </w:t>
      </w:r>
      <w:r w:rsidR="005C0CD3">
        <w:t>It also draws your attention to key activities</w:t>
      </w:r>
      <w:r w:rsidRPr="007B35AD">
        <w:t xml:space="preserve"> </w:t>
      </w:r>
      <w:r w:rsidR="005C0CD3" w:rsidRPr="001778CF">
        <w:t xml:space="preserve">planned </w:t>
      </w:r>
      <w:r w:rsidRPr="001778CF">
        <w:t xml:space="preserve">through to 30 </w:t>
      </w:r>
      <w:r w:rsidR="00677C11" w:rsidRPr="001778CF">
        <w:t>September</w:t>
      </w:r>
      <w:r w:rsidRPr="001778CF">
        <w:t xml:space="preserve"> 20</w:t>
      </w:r>
      <w:r w:rsidR="00677C11" w:rsidRPr="001778CF">
        <w:t>19</w:t>
      </w:r>
      <w:r w:rsidRPr="001778CF">
        <w:t>.</w:t>
      </w:r>
    </w:p>
    <w:p w:rsidR="009F4484" w:rsidRPr="00AF510B" w:rsidRDefault="007A5A49" w:rsidP="00603635">
      <w:pPr>
        <w:rPr>
          <w:b/>
        </w:rPr>
      </w:pPr>
      <w:r>
        <w:rPr>
          <w:b/>
        </w:rPr>
        <w:t>H</w:t>
      </w:r>
      <w:r w:rsidR="009F4484" w:rsidRPr="00AF510B">
        <w:rPr>
          <w:b/>
        </w:rPr>
        <w:t>ighlight</w:t>
      </w:r>
      <w:r>
        <w:rPr>
          <w:b/>
        </w:rPr>
        <w:t xml:space="preserve">s for the </w:t>
      </w:r>
      <w:r w:rsidR="00D27B2C">
        <w:rPr>
          <w:b/>
        </w:rPr>
        <w:t xml:space="preserve">quarter </w:t>
      </w:r>
      <w:r w:rsidR="00AF510B" w:rsidRPr="00AF510B">
        <w:rPr>
          <w:b/>
        </w:rPr>
        <w:t xml:space="preserve">to </w:t>
      </w:r>
      <w:r w:rsidR="007F1A71">
        <w:rPr>
          <w:b/>
        </w:rPr>
        <w:t>June</w:t>
      </w:r>
      <w:r w:rsidR="00AF510B" w:rsidRPr="00AF510B">
        <w:rPr>
          <w:b/>
        </w:rPr>
        <w:t xml:space="preserve"> 2019</w:t>
      </w:r>
    </w:p>
    <w:p w:rsidR="009F4484" w:rsidRDefault="00AF510B" w:rsidP="00603635">
      <w:r>
        <w:t>Ke</w:t>
      </w:r>
      <w:r w:rsidR="007F1A71">
        <w:t xml:space="preserve">y highlights for the </w:t>
      </w:r>
      <w:r w:rsidR="00414502">
        <w:t>quarter</w:t>
      </w:r>
      <w:r>
        <w:t xml:space="preserve"> include:</w:t>
      </w:r>
    </w:p>
    <w:p w:rsidR="005850AF" w:rsidRDefault="00D27B2C" w:rsidP="00AF510B">
      <w:pPr>
        <w:pStyle w:val="ListParagraph"/>
        <w:numPr>
          <w:ilvl w:val="0"/>
          <w:numId w:val="25"/>
        </w:numPr>
      </w:pPr>
      <w:r>
        <w:t xml:space="preserve">Private sessions, where survivors share their experiences of abuse, commenced in April 2019 and continued through to June 2019. </w:t>
      </w:r>
      <w:r w:rsidR="005850AF">
        <w:t>To date, more than 70 survivors - who had pre-registered with the Royal Commission - have</w:t>
      </w:r>
      <w:r w:rsidR="007F0C3F">
        <w:t xml:space="preserve"> spoken to Commissioners.  S</w:t>
      </w:r>
      <w:r w:rsidR="005850AF">
        <w:t>essions were held in Auckland, Wellington and Christchurch</w:t>
      </w:r>
      <w:r w:rsidR="007F0C3F">
        <w:t>.</w:t>
      </w:r>
      <w:r w:rsidR="00DB305D">
        <w:t xml:space="preserve"> Approximately 1,100 survivors have now registered with the Commission</w:t>
      </w:r>
      <w:r w:rsidR="004F11C0">
        <w:t>;</w:t>
      </w:r>
    </w:p>
    <w:p w:rsidR="00414502" w:rsidRDefault="00581CF4" w:rsidP="00AF510B">
      <w:pPr>
        <w:pStyle w:val="ListParagraph"/>
        <w:numPr>
          <w:ilvl w:val="0"/>
          <w:numId w:val="25"/>
        </w:numPr>
      </w:pPr>
      <w:r>
        <w:t xml:space="preserve">The Commission worked with the Department of Corrections to develop a Memorandum of Understanding between the two organisations, which was signed on 7 June 2019. This enabled a series of private sessions to be held in prisons during the quarter. </w:t>
      </w:r>
      <w:r w:rsidR="00560161">
        <w:t xml:space="preserve">The Commission has also reached an agreement with New Zealand Police for referrals to take place to Police </w:t>
      </w:r>
      <w:r w:rsidR="0031147C">
        <w:t>if a survivor requests it;</w:t>
      </w:r>
    </w:p>
    <w:p w:rsidR="007165E2" w:rsidRDefault="00D27B2C" w:rsidP="00AF510B">
      <w:pPr>
        <w:pStyle w:val="ListParagraph"/>
        <w:numPr>
          <w:ilvl w:val="0"/>
          <w:numId w:val="25"/>
        </w:numPr>
      </w:pPr>
      <w:r>
        <w:t xml:space="preserve">A </w:t>
      </w:r>
      <w:r w:rsidR="00CC4DAF">
        <w:t xml:space="preserve">Preliminary Public Hearing </w:t>
      </w:r>
      <w:r>
        <w:t xml:space="preserve">was </w:t>
      </w:r>
      <w:r w:rsidR="00CC4DAF">
        <w:t xml:space="preserve">held in June 2019 </w:t>
      </w:r>
      <w:r w:rsidR="007165E2">
        <w:t>at the Environment Court in Auckland</w:t>
      </w:r>
      <w:r w:rsidR="00093499">
        <w:t xml:space="preserve">. The purpose of the hearing was to share information </w:t>
      </w:r>
      <w:r w:rsidR="00093499" w:rsidRPr="00093499">
        <w:t>about the Inquiry’s scope and focus and the methods we will use to deliver our work programme</w:t>
      </w:r>
      <w:r w:rsidR="00093499">
        <w:t>.</w:t>
      </w:r>
      <w:r>
        <w:t xml:space="preserve"> The feedback received from survivors about the </w:t>
      </w:r>
      <w:r w:rsidR="00157200">
        <w:t>H</w:t>
      </w:r>
      <w:r>
        <w:t xml:space="preserve">earing </w:t>
      </w:r>
      <w:r w:rsidR="00157200">
        <w:t xml:space="preserve">and the associated media coverage </w:t>
      </w:r>
      <w:r>
        <w:t>was generally positive</w:t>
      </w:r>
      <w:r w:rsidR="004F11C0">
        <w:t>;</w:t>
      </w:r>
      <w:r w:rsidR="00DB305D">
        <w:t xml:space="preserve"> </w:t>
      </w:r>
    </w:p>
    <w:p w:rsidR="00D27B2C" w:rsidRDefault="00D27B2C" w:rsidP="00AF510B">
      <w:pPr>
        <w:pStyle w:val="ListParagraph"/>
        <w:numPr>
          <w:ilvl w:val="0"/>
          <w:numId w:val="25"/>
        </w:numPr>
      </w:pPr>
      <w:r>
        <w:t>Commencement of investigations occurred through a public ‘disposal freeze’ notice to all institutions of interest in April 2019. The Commission worked with the Chief Archivist</w:t>
      </w:r>
      <w:r w:rsidR="00475FF4">
        <w:t xml:space="preserve"> </w:t>
      </w:r>
      <w:r>
        <w:t>and equivalent representatives in faith-based services to issue the n</w:t>
      </w:r>
      <w:r w:rsidR="00DB305D">
        <w:t>otice</w:t>
      </w:r>
      <w:r w:rsidR="004F11C0">
        <w:t>;</w:t>
      </w:r>
    </w:p>
    <w:p w:rsidR="00DB305D" w:rsidRDefault="00DB305D" w:rsidP="00DB305D">
      <w:pPr>
        <w:pStyle w:val="ListParagraph"/>
        <w:numPr>
          <w:ilvl w:val="0"/>
          <w:numId w:val="25"/>
        </w:numPr>
      </w:pPr>
      <w:r>
        <w:t xml:space="preserve">Strategies and </w:t>
      </w:r>
      <w:r w:rsidR="00157200">
        <w:t>p</w:t>
      </w:r>
      <w:r w:rsidRPr="0020698B">
        <w:t xml:space="preserve">lans </w:t>
      </w:r>
      <w:r>
        <w:t xml:space="preserve">for </w:t>
      </w:r>
      <w:r w:rsidRPr="0020698B">
        <w:t xml:space="preserve">outreach and engagement </w:t>
      </w:r>
      <w:r>
        <w:t xml:space="preserve">to </w:t>
      </w:r>
      <w:r w:rsidRPr="0020698B">
        <w:t xml:space="preserve">increase the awareness of the Commission’s work, and to encourage registration and participation by survivors have been completed and are now being implemented. People with established networks in the community, particularly with Maori, Pasifika, and the disabled communities </w:t>
      </w:r>
      <w:r>
        <w:t>have been</w:t>
      </w:r>
      <w:r w:rsidRPr="0020698B">
        <w:t xml:space="preserve"> engaged to promote the Commission’s work</w:t>
      </w:r>
      <w:r w:rsidR="004F11C0">
        <w:t xml:space="preserve"> and encourage registration;</w:t>
      </w:r>
    </w:p>
    <w:p w:rsidR="00D27B2C" w:rsidRDefault="00D27B2C" w:rsidP="00D27B2C">
      <w:pPr>
        <w:pStyle w:val="ListParagraph"/>
        <w:numPr>
          <w:ilvl w:val="0"/>
          <w:numId w:val="25"/>
        </w:numPr>
      </w:pPr>
      <w:r w:rsidRPr="007F0C3F">
        <w:t xml:space="preserve">The Commission appointed a Survivor Advisory Group </w:t>
      </w:r>
      <w:r w:rsidR="004F11C0">
        <w:t xml:space="preserve">in May 2019. </w:t>
      </w:r>
      <w:r w:rsidR="00053CC5">
        <w:t xml:space="preserve">as outlined in the Terms of Reference, </w:t>
      </w:r>
      <w:r w:rsidRPr="007F0C3F">
        <w:t>to</w:t>
      </w:r>
      <w:r>
        <w:t xml:space="preserve"> assist the work of the Inquiry</w:t>
      </w:r>
      <w:r w:rsidR="00053CC5">
        <w:t xml:space="preserve"> and to ensure the survivor “voice” is heard</w:t>
      </w:r>
      <w:r w:rsidR="004F11C0">
        <w:t>.</w:t>
      </w:r>
      <w:r>
        <w:t xml:space="preserve"> The first meeting of the Group was held in June and a second meeting is planned for August 2019. A series of regular meetings will follow</w:t>
      </w:r>
      <w:r w:rsidR="00BF26EE">
        <w:t>;</w:t>
      </w:r>
    </w:p>
    <w:p w:rsidR="00DB305D" w:rsidRDefault="00414502" w:rsidP="00D27B2C">
      <w:pPr>
        <w:pStyle w:val="ListParagraph"/>
        <w:numPr>
          <w:ilvl w:val="0"/>
          <w:numId w:val="25"/>
        </w:numPr>
      </w:pPr>
      <w:r>
        <w:t>The Commission has developed a Communications Strategy, that includes taking a more proactive approach to media.  Initial results have been pleasing and show the benefits of a more proactive approach</w:t>
      </w:r>
      <w:r w:rsidR="00BF26EE">
        <w:t>;</w:t>
      </w:r>
    </w:p>
    <w:p w:rsidR="00CC4DAF" w:rsidRDefault="00493F15" w:rsidP="00AF510B">
      <w:pPr>
        <w:pStyle w:val="ListParagraph"/>
        <w:numPr>
          <w:ilvl w:val="0"/>
          <w:numId w:val="25"/>
        </w:numPr>
      </w:pPr>
      <w:r>
        <w:t>The C</w:t>
      </w:r>
      <w:r w:rsidR="00093499" w:rsidRPr="00093499">
        <w:t>ommission</w:t>
      </w:r>
      <w:r>
        <w:t xml:space="preserve"> re-</w:t>
      </w:r>
      <w:r w:rsidR="00093499" w:rsidRPr="00093499">
        <w:t xml:space="preserve"> launched</w:t>
      </w:r>
      <w:r w:rsidR="00CC4DAF" w:rsidRPr="00093499">
        <w:t xml:space="preserve"> </w:t>
      </w:r>
      <w:r>
        <w:t>a simplification and rebranding in June 2019. The Commission is now to be known as the Royal Commission ‘’Abuse in Care’’</w:t>
      </w:r>
      <w:r w:rsidR="00CC4DAF" w:rsidRPr="00093499">
        <w:t xml:space="preserve">. </w:t>
      </w:r>
      <w:r w:rsidR="00093499" w:rsidRPr="00093499">
        <w:t>A key aim of the relaunch was to</w:t>
      </w:r>
      <w:r w:rsidR="00CC4DAF" w:rsidRPr="00093499">
        <w:t xml:space="preserve"> reinforce our independence from the </w:t>
      </w:r>
      <w:r w:rsidR="00581CF4">
        <w:t>Crown</w:t>
      </w:r>
      <w:r w:rsidR="00CC4DAF" w:rsidRPr="00093499">
        <w:t xml:space="preserve"> and faith-based institutions</w:t>
      </w:r>
      <w:r w:rsidR="00BF26EE">
        <w:t>;</w:t>
      </w:r>
    </w:p>
    <w:p w:rsidR="0020698B" w:rsidRDefault="00560161" w:rsidP="00475FF4">
      <w:pPr>
        <w:pStyle w:val="ListParagraph"/>
        <w:numPr>
          <w:ilvl w:val="0"/>
          <w:numId w:val="25"/>
        </w:numPr>
      </w:pPr>
      <w:r w:rsidRPr="00475FF4">
        <w:rPr>
          <w:iCs/>
        </w:rPr>
        <w:lastRenderedPageBreak/>
        <w:t>The Commission has developed business and operating models for the running of the Inquiry a</w:t>
      </w:r>
      <w:r w:rsidR="00BF26EE" w:rsidRPr="00475FF4">
        <w:rPr>
          <w:iCs/>
        </w:rPr>
        <w:t>s part of the current move</w:t>
      </w:r>
      <w:r w:rsidRPr="00475FF4">
        <w:rPr>
          <w:iCs/>
        </w:rPr>
        <w:t xml:space="preserve"> from establishment </w:t>
      </w:r>
      <w:r w:rsidR="00AA7469" w:rsidRPr="00475FF4">
        <w:rPr>
          <w:iCs/>
        </w:rPr>
        <w:t>i</w:t>
      </w:r>
      <w:r w:rsidRPr="00475FF4">
        <w:rPr>
          <w:iCs/>
        </w:rPr>
        <w:t>nto its core delivery phase. Budgeted costs based on these models have been estimated to deliver the work of the Inquiry through to its conclusion in 2023</w:t>
      </w:r>
      <w:r w:rsidR="00BF26EE" w:rsidRPr="00475FF4">
        <w:rPr>
          <w:iCs/>
        </w:rPr>
        <w:t xml:space="preserve">. </w:t>
      </w:r>
      <w:r w:rsidR="00BF26EE">
        <w:t>Anticipated costs are forecast to be higher than original estimates in the Cabinet Paper (</w:t>
      </w:r>
      <w:r w:rsidR="00BF26EE" w:rsidRPr="007A40FA">
        <w:t>CAB-18-MIN-0572.01</w:t>
      </w:r>
      <w:r w:rsidR="00BF26EE">
        <w:t xml:space="preserve">, para 34). </w:t>
      </w:r>
      <w:r w:rsidR="00410D80" w:rsidRPr="00475FF4">
        <w:rPr>
          <w:iCs/>
        </w:rPr>
        <w:t xml:space="preserve"> </w:t>
      </w:r>
    </w:p>
    <w:p w:rsidR="009F4484" w:rsidRPr="00AF510B" w:rsidRDefault="009F4484" w:rsidP="00603635">
      <w:pPr>
        <w:rPr>
          <w:b/>
        </w:rPr>
      </w:pPr>
      <w:r w:rsidRPr="00AF510B">
        <w:rPr>
          <w:b/>
        </w:rPr>
        <w:t>Upcoming activity</w:t>
      </w:r>
      <w:r w:rsidR="00AF510B">
        <w:rPr>
          <w:b/>
        </w:rPr>
        <w:t xml:space="preserve"> to </w:t>
      </w:r>
      <w:r w:rsidR="00677C11">
        <w:rPr>
          <w:b/>
        </w:rPr>
        <w:t>September</w:t>
      </w:r>
      <w:r w:rsidR="00AF510B">
        <w:rPr>
          <w:b/>
        </w:rPr>
        <w:t xml:space="preserve"> 2019</w:t>
      </w:r>
    </w:p>
    <w:p w:rsidR="009F4484" w:rsidRDefault="000638B2" w:rsidP="00603635">
      <w:r>
        <w:t xml:space="preserve">Planned activities </w:t>
      </w:r>
      <w:r w:rsidR="00677C11">
        <w:t>for the first quarter of 2019/20</w:t>
      </w:r>
      <w:r w:rsidR="00410D80">
        <w:t xml:space="preserve"> include</w:t>
      </w:r>
      <w:r>
        <w:t>:</w:t>
      </w:r>
    </w:p>
    <w:p w:rsidR="00410D80" w:rsidRDefault="00410D80" w:rsidP="00410D80">
      <w:pPr>
        <w:pStyle w:val="ListParagraph"/>
        <w:numPr>
          <w:ilvl w:val="0"/>
          <w:numId w:val="26"/>
        </w:numPr>
      </w:pPr>
      <w:r>
        <w:t>Completing negotiations for a Public Hearing space</w:t>
      </w:r>
      <w:r w:rsidR="00475FF4">
        <w:t xml:space="preserve"> in Auckland</w:t>
      </w:r>
      <w:r>
        <w:t xml:space="preserve"> for the duration of the Commission’s work are underway. The Commission is working with the Department of Internal </w:t>
      </w:r>
      <w:r w:rsidRPr="0020698B">
        <w:t>A</w:t>
      </w:r>
      <w:r>
        <w:t>ffairs and the Treasury to secure capital funding to support the set-up of the fac</w:t>
      </w:r>
      <w:r w:rsidR="00475FF4">
        <w:t>ility</w:t>
      </w:r>
      <w:r w:rsidR="00BF26EE">
        <w:t>;</w:t>
      </w:r>
    </w:p>
    <w:p w:rsidR="00410D80" w:rsidRDefault="00410D80" w:rsidP="00410D80">
      <w:pPr>
        <w:pStyle w:val="ListParagraph"/>
        <w:numPr>
          <w:ilvl w:val="0"/>
          <w:numId w:val="26"/>
        </w:numPr>
      </w:pPr>
      <w:r>
        <w:t>The Commission will hold a Procedural hearing in August 2019 to provide further information about how the Commission will be undertaking the Inquiry</w:t>
      </w:r>
      <w:r w:rsidR="00BF26EE">
        <w:t>;</w:t>
      </w:r>
    </w:p>
    <w:p w:rsidR="00410D80" w:rsidRPr="00DD04AA" w:rsidRDefault="00410D80" w:rsidP="00410D80">
      <w:pPr>
        <w:pStyle w:val="ListParagraph"/>
        <w:numPr>
          <w:ilvl w:val="0"/>
          <w:numId w:val="26"/>
        </w:numPr>
      </w:pPr>
      <w:r>
        <w:t xml:space="preserve">Preparation for further Public Hearings, which will start later in the year and into 2020 </w:t>
      </w:r>
      <w:r w:rsidR="00053CC5">
        <w:t xml:space="preserve">will be well underway during the quarter. The </w:t>
      </w:r>
      <w:r w:rsidR="00475FF4">
        <w:t>h</w:t>
      </w:r>
      <w:r w:rsidR="00053CC5">
        <w:t>earings</w:t>
      </w:r>
      <w:r w:rsidRPr="00DD04AA">
        <w:t> will see people give evidence and make submissions. Public hearings will involve institutions, lawyers, academics, some survivors and their networks.</w:t>
      </w:r>
      <w:r w:rsidR="00864121">
        <w:t xml:space="preserve"> Specialist evidence management software to support the work required is being procured</w:t>
      </w:r>
      <w:r w:rsidR="00BF26EE">
        <w:t>;</w:t>
      </w:r>
    </w:p>
    <w:p w:rsidR="00053CC5" w:rsidRDefault="00053CC5" w:rsidP="00410D80">
      <w:pPr>
        <w:pStyle w:val="ListParagraph"/>
        <w:numPr>
          <w:ilvl w:val="0"/>
          <w:numId w:val="26"/>
        </w:numPr>
      </w:pPr>
      <w:r>
        <w:t xml:space="preserve">The Commission will work with the Department of Internal Affairs to establish the administrative processes to support applications for the Crown to pay participants legal cost under section 18 of the Inquiries Act 2013. The Commission </w:t>
      </w:r>
      <w:r w:rsidR="00864121">
        <w:t xml:space="preserve">has estimated the cost of legal assistance over the life of the Inquiry and </w:t>
      </w:r>
      <w:r>
        <w:t xml:space="preserve">is working with the Department of Internal </w:t>
      </w:r>
      <w:r w:rsidRPr="0020698B">
        <w:t>A</w:t>
      </w:r>
      <w:r>
        <w:t>ffairs and the Treasury to secure funding</w:t>
      </w:r>
      <w:r w:rsidR="00BF26EE">
        <w:t>;</w:t>
      </w:r>
    </w:p>
    <w:p w:rsidR="00477D24" w:rsidRDefault="00864121" w:rsidP="00477D24">
      <w:pPr>
        <w:pStyle w:val="ListParagraph"/>
        <w:numPr>
          <w:ilvl w:val="0"/>
          <w:numId w:val="26"/>
        </w:numPr>
      </w:pPr>
      <w:r>
        <w:t xml:space="preserve">Private sessions, where survivors share their experiences of abuse, will continue during the quarter. Commissioners </w:t>
      </w:r>
      <w:r w:rsidR="00477D24">
        <w:t>are planning to visit</w:t>
      </w:r>
      <w:r>
        <w:t xml:space="preserve"> the following</w:t>
      </w:r>
      <w:r w:rsidR="00477D24">
        <w:t xml:space="preserve"> towns and cities: Whangarei, Auckland, Hamilton, Wanganui, Wellington, Nelson, Christchurch, and Dunedin, plus </w:t>
      </w:r>
      <w:r w:rsidR="00BB7E05">
        <w:t xml:space="preserve">Rimutaka, </w:t>
      </w:r>
      <w:r w:rsidR="00477D24">
        <w:t>Springhill</w:t>
      </w:r>
      <w:r w:rsidR="00BB7E05">
        <w:t xml:space="preserve"> and Auckland South</w:t>
      </w:r>
      <w:r w:rsidR="00477D24">
        <w:t xml:space="preserve"> Prison</w:t>
      </w:r>
      <w:r w:rsidR="00BB7E05">
        <w:t>s</w:t>
      </w:r>
      <w:r w:rsidR="00BF26EE">
        <w:t>;</w:t>
      </w:r>
    </w:p>
    <w:p w:rsidR="00053CC5" w:rsidRDefault="00477D24" w:rsidP="00AA7469">
      <w:pPr>
        <w:pStyle w:val="ListParagraph"/>
        <w:numPr>
          <w:ilvl w:val="0"/>
          <w:numId w:val="26"/>
        </w:numPr>
      </w:pPr>
      <w:r>
        <w:t xml:space="preserve">The Commission will develop the methodology and process for holding Roundtables during the quarter. </w:t>
      </w:r>
      <w:r>
        <w:rPr>
          <w:rFonts w:asciiTheme="minorHAnsi" w:hAnsiTheme="minorHAnsi" w:cstheme="minorHAnsi"/>
          <w:color w:val="333333"/>
        </w:rPr>
        <w:t xml:space="preserve">Roundtables offer a way to </w:t>
      </w:r>
      <w:r w:rsidRPr="00956925">
        <w:rPr>
          <w:rFonts w:asciiTheme="minorHAnsi" w:hAnsiTheme="minorHAnsi" w:cstheme="minorHAnsi"/>
          <w:color w:val="333333"/>
        </w:rPr>
        <w:t>engage survivors, academics, government and non-government representatives and policy experts</w:t>
      </w:r>
      <w:r>
        <w:rPr>
          <w:rFonts w:asciiTheme="minorHAnsi" w:hAnsiTheme="minorHAnsi" w:cstheme="minorHAnsi"/>
          <w:color w:val="333333"/>
        </w:rPr>
        <w:t xml:space="preserve"> on topics and research </w:t>
      </w:r>
      <w:r w:rsidR="00AA7469">
        <w:rPr>
          <w:rFonts w:asciiTheme="minorHAnsi" w:hAnsiTheme="minorHAnsi" w:cstheme="minorHAnsi"/>
          <w:color w:val="333333"/>
        </w:rPr>
        <w:t xml:space="preserve">that will inform the work of the Inquiry. They </w:t>
      </w:r>
      <w:r>
        <w:rPr>
          <w:rFonts w:asciiTheme="minorHAnsi" w:hAnsiTheme="minorHAnsi" w:cstheme="minorHAnsi"/>
          <w:color w:val="333333"/>
        </w:rPr>
        <w:t xml:space="preserve">provide </w:t>
      </w:r>
      <w:r w:rsidR="00AA7469">
        <w:rPr>
          <w:rFonts w:asciiTheme="minorHAnsi" w:hAnsiTheme="minorHAnsi" w:cstheme="minorHAnsi"/>
          <w:color w:val="333333"/>
        </w:rPr>
        <w:t xml:space="preserve">also provide </w:t>
      </w:r>
      <w:r>
        <w:rPr>
          <w:rFonts w:asciiTheme="minorHAnsi" w:hAnsiTheme="minorHAnsi" w:cstheme="minorHAnsi"/>
          <w:color w:val="333333"/>
        </w:rPr>
        <w:t xml:space="preserve">valuable </w:t>
      </w:r>
      <w:r w:rsidR="00AA7469">
        <w:rPr>
          <w:rFonts w:asciiTheme="minorHAnsi" w:hAnsiTheme="minorHAnsi" w:cstheme="minorHAnsi"/>
          <w:color w:val="333333"/>
        </w:rPr>
        <w:t>input to Public Hearings</w:t>
      </w:r>
      <w:r w:rsidR="0031147C">
        <w:rPr>
          <w:rFonts w:asciiTheme="minorHAnsi" w:hAnsiTheme="minorHAnsi" w:cstheme="minorHAnsi"/>
          <w:color w:val="333333"/>
        </w:rPr>
        <w:t xml:space="preserve"> preparation</w:t>
      </w:r>
      <w:r w:rsidR="00BF26EE">
        <w:rPr>
          <w:rFonts w:asciiTheme="minorHAnsi" w:hAnsiTheme="minorHAnsi" w:cstheme="minorHAnsi"/>
          <w:color w:val="333333"/>
        </w:rPr>
        <w:t>;</w:t>
      </w:r>
    </w:p>
    <w:p w:rsidR="004E4303" w:rsidRDefault="007A40FA" w:rsidP="007A40FA">
      <w:pPr>
        <w:pStyle w:val="ListParagraph"/>
        <w:numPr>
          <w:ilvl w:val="0"/>
          <w:numId w:val="26"/>
        </w:numPr>
      </w:pPr>
      <w:r>
        <w:t xml:space="preserve">The Commission </w:t>
      </w:r>
      <w:r w:rsidR="0020698B">
        <w:t>is focusing on the</w:t>
      </w:r>
      <w:r>
        <w:t xml:space="preserve"> </w:t>
      </w:r>
      <w:r w:rsidR="005C0CD3">
        <w:t>recruit</w:t>
      </w:r>
      <w:r w:rsidR="0020698B">
        <w:t>ment of</w:t>
      </w:r>
      <w:r w:rsidR="005C0CD3">
        <w:t xml:space="preserve"> </w:t>
      </w:r>
      <w:r>
        <w:t>key staff and reso</w:t>
      </w:r>
      <w:r w:rsidR="0020698B">
        <w:t>urces to support its operations</w:t>
      </w:r>
      <w:r>
        <w:t>.</w:t>
      </w:r>
      <w:r w:rsidR="00AA7469">
        <w:t xml:space="preserve"> Based on the Commission’s estimates of costs</w:t>
      </w:r>
      <w:r w:rsidR="00AA7469" w:rsidRPr="00AA7469">
        <w:t xml:space="preserve"> </w:t>
      </w:r>
      <w:r w:rsidR="00AA7469">
        <w:t>for the activity required to deliver on the Terms of Reference,</w:t>
      </w:r>
      <w:r w:rsidR="00BF26EE">
        <w:t xml:space="preserve"> staff costs are expected to be higher than originally anticipated. </w:t>
      </w:r>
      <w:r>
        <w:t xml:space="preserve"> </w:t>
      </w:r>
      <w:r w:rsidR="00AA7469">
        <w:t>A</w:t>
      </w:r>
      <w:r w:rsidR="00123182">
        <w:t xml:space="preserve"> comprehensive induction process for new staff will be rolled out during the quarter</w:t>
      </w:r>
      <w:r w:rsidR="00BF26EE">
        <w:t>;</w:t>
      </w:r>
      <w:r w:rsidR="00AA7469">
        <w:t xml:space="preserve"> </w:t>
      </w:r>
    </w:p>
    <w:p w:rsidR="00AA7469" w:rsidRDefault="00AA7469" w:rsidP="007A40FA">
      <w:pPr>
        <w:pStyle w:val="ListParagraph"/>
        <w:numPr>
          <w:ilvl w:val="0"/>
          <w:numId w:val="26"/>
        </w:numPr>
      </w:pPr>
      <w:r>
        <w:t>As part of its Communication Strategy the Commission will launch its new website in August 2019. The new site is specifically designed for survivors and supports the Commission’s new look and recent rebranding. The new site is expected to support increased awareness of the Commission’s activities and encourage participation and registration by survivors</w:t>
      </w:r>
      <w:r w:rsidR="00BF26EE">
        <w:t>;</w:t>
      </w:r>
    </w:p>
    <w:p w:rsidR="00DD04AA" w:rsidRPr="00123182" w:rsidRDefault="00123182" w:rsidP="00603635">
      <w:pPr>
        <w:pStyle w:val="ListParagraph"/>
        <w:numPr>
          <w:ilvl w:val="0"/>
          <w:numId w:val="26"/>
        </w:numPr>
      </w:pPr>
      <w:r>
        <w:lastRenderedPageBreak/>
        <w:t>The Commission will implement a programme management approach during the quarter to manage and coordinate the Commission’s activity as an integrated programme of work</w:t>
      </w:r>
      <w:r w:rsidR="00BF26EE">
        <w:t>.</w:t>
      </w:r>
    </w:p>
    <w:p w:rsidR="009F4484" w:rsidRPr="00AF510B" w:rsidRDefault="009F4484" w:rsidP="00603635">
      <w:pPr>
        <w:rPr>
          <w:b/>
        </w:rPr>
      </w:pPr>
      <w:bookmarkStart w:id="0" w:name="_GoBack"/>
      <w:bookmarkEnd w:id="0"/>
      <w:r w:rsidRPr="00AF510B">
        <w:rPr>
          <w:b/>
        </w:rPr>
        <w:t>Financial summary</w:t>
      </w:r>
      <w:r w:rsidR="00BF26EE">
        <w:rPr>
          <w:b/>
        </w:rPr>
        <w:t xml:space="preserve"> to 3</w:t>
      </w:r>
      <w:r w:rsidR="00BB7E05">
        <w:rPr>
          <w:b/>
        </w:rPr>
        <w:t xml:space="preserve">0 June </w:t>
      </w:r>
      <w:r w:rsidR="00BF26EE">
        <w:rPr>
          <w:b/>
        </w:rPr>
        <w:t>2019</w:t>
      </w:r>
    </w:p>
    <w:p w:rsidR="009F4484" w:rsidRDefault="009F4484" w:rsidP="00603635">
      <w:r w:rsidRPr="009F4484">
        <w:t>Departmental Output Expense: Royal Commission into Historical Abuse in State Care and in the C</w:t>
      </w:r>
      <w:r w:rsidR="0047737C">
        <w:t>are of Faith-based Institutions.</w:t>
      </w:r>
    </w:p>
    <w:tbl>
      <w:tblPr>
        <w:tblStyle w:val="DIATable"/>
        <w:tblW w:w="5547" w:type="dxa"/>
        <w:tblLook w:val="04A0" w:firstRow="1" w:lastRow="0" w:firstColumn="1" w:lastColumn="0" w:noHBand="0" w:noVBand="1"/>
      </w:tblPr>
      <w:tblGrid>
        <w:gridCol w:w="2287"/>
        <w:gridCol w:w="1701"/>
        <w:gridCol w:w="1559"/>
      </w:tblGrid>
      <w:tr w:rsidR="008F78E3" w:rsidTr="008F78E3">
        <w:trPr>
          <w:cnfStyle w:val="100000000000" w:firstRow="1" w:lastRow="0" w:firstColumn="0" w:lastColumn="0" w:oddVBand="0" w:evenVBand="0" w:oddHBand="0" w:evenHBand="0" w:firstRowFirstColumn="0" w:firstRowLastColumn="0" w:lastRowFirstColumn="0" w:lastRowLastColumn="0"/>
        </w:trPr>
        <w:tc>
          <w:tcPr>
            <w:tcW w:w="2287" w:type="dxa"/>
          </w:tcPr>
          <w:p w:rsidR="008F78E3" w:rsidRDefault="008F78E3" w:rsidP="0027103E">
            <w:pPr>
              <w:ind w:right="-814"/>
            </w:pPr>
            <w:r>
              <w:t>Output</w:t>
            </w:r>
          </w:p>
        </w:tc>
        <w:tc>
          <w:tcPr>
            <w:tcW w:w="1701" w:type="dxa"/>
          </w:tcPr>
          <w:p w:rsidR="008F78E3" w:rsidRDefault="008F78E3" w:rsidP="0027103E">
            <w:r>
              <w:t>Total spend to date</w:t>
            </w:r>
          </w:p>
          <w:p w:rsidR="008F78E3" w:rsidRDefault="008F78E3" w:rsidP="0027103E">
            <w:r>
              <w:t>($m)</w:t>
            </w:r>
          </w:p>
        </w:tc>
        <w:tc>
          <w:tcPr>
            <w:tcW w:w="1559" w:type="dxa"/>
          </w:tcPr>
          <w:p w:rsidR="008F78E3" w:rsidRDefault="008F78E3" w:rsidP="0027103E">
            <w:r>
              <w:t>Multi-year  Budget</w:t>
            </w:r>
          </w:p>
          <w:p w:rsidR="008F78E3" w:rsidRDefault="008F78E3" w:rsidP="0027103E">
            <w:r>
              <w:t>($m)</w:t>
            </w:r>
          </w:p>
        </w:tc>
      </w:tr>
      <w:tr w:rsidR="008F78E3" w:rsidTr="008F78E3">
        <w:tc>
          <w:tcPr>
            <w:tcW w:w="2287" w:type="dxa"/>
          </w:tcPr>
          <w:p w:rsidR="008F78E3" w:rsidRDefault="008F78E3" w:rsidP="0027103E">
            <w:r>
              <w:t>Operating e</w:t>
            </w:r>
            <w:r w:rsidRPr="009F4484">
              <w:t>xpenses</w:t>
            </w:r>
          </w:p>
        </w:tc>
        <w:tc>
          <w:tcPr>
            <w:tcW w:w="1701" w:type="dxa"/>
          </w:tcPr>
          <w:p w:rsidR="008F78E3" w:rsidRDefault="008F78E3" w:rsidP="008F78E3">
            <w:pPr>
              <w:jc w:val="right"/>
            </w:pPr>
            <w:r>
              <w:rPr>
                <w:rFonts w:cs="Calibri"/>
                <w:color w:val="000000"/>
                <w:szCs w:val="22"/>
              </w:rPr>
              <w:t>8.857</w:t>
            </w:r>
          </w:p>
        </w:tc>
        <w:tc>
          <w:tcPr>
            <w:tcW w:w="1559" w:type="dxa"/>
          </w:tcPr>
          <w:p w:rsidR="008F78E3" w:rsidRDefault="008F78E3" w:rsidP="0027103E">
            <w:pPr>
              <w:jc w:val="right"/>
            </w:pPr>
            <w:r w:rsidRPr="009F4484">
              <w:t>56.066</w:t>
            </w:r>
          </w:p>
        </w:tc>
      </w:tr>
      <w:tr w:rsidR="008F78E3" w:rsidTr="008F78E3">
        <w:tc>
          <w:tcPr>
            <w:tcW w:w="2287" w:type="dxa"/>
          </w:tcPr>
          <w:p w:rsidR="008F78E3" w:rsidRDefault="008F78E3" w:rsidP="0027103E">
            <w:r w:rsidRPr="00BB7E05">
              <w:t>Commissioner fees</w:t>
            </w:r>
          </w:p>
        </w:tc>
        <w:tc>
          <w:tcPr>
            <w:tcW w:w="1701" w:type="dxa"/>
          </w:tcPr>
          <w:p w:rsidR="008F78E3" w:rsidRDefault="008F78E3" w:rsidP="0027103E">
            <w:pPr>
              <w:jc w:val="right"/>
            </w:pPr>
            <w:r>
              <w:t>N/A</w:t>
            </w:r>
          </w:p>
        </w:tc>
        <w:tc>
          <w:tcPr>
            <w:tcW w:w="1559" w:type="dxa"/>
          </w:tcPr>
          <w:p w:rsidR="008F78E3" w:rsidRDefault="008F78E3" w:rsidP="0027103E">
            <w:pPr>
              <w:jc w:val="right"/>
            </w:pPr>
            <w:r w:rsidRPr="009F4484">
              <w:t>6.123</w:t>
            </w:r>
          </w:p>
        </w:tc>
      </w:tr>
      <w:tr w:rsidR="008F78E3" w:rsidTr="008F78E3">
        <w:tc>
          <w:tcPr>
            <w:tcW w:w="2287" w:type="dxa"/>
          </w:tcPr>
          <w:p w:rsidR="008F78E3" w:rsidRDefault="008F78E3" w:rsidP="0027103E">
            <w:r>
              <w:t>Counselling costs</w:t>
            </w:r>
          </w:p>
        </w:tc>
        <w:tc>
          <w:tcPr>
            <w:tcW w:w="1701" w:type="dxa"/>
          </w:tcPr>
          <w:p w:rsidR="008F78E3" w:rsidRDefault="008F78E3" w:rsidP="0027103E">
            <w:pPr>
              <w:jc w:val="right"/>
            </w:pPr>
            <w:r>
              <w:t>nil</w:t>
            </w:r>
          </w:p>
        </w:tc>
        <w:tc>
          <w:tcPr>
            <w:tcW w:w="1559" w:type="dxa"/>
          </w:tcPr>
          <w:p w:rsidR="008F78E3" w:rsidRDefault="008F78E3" w:rsidP="0027103E">
            <w:pPr>
              <w:jc w:val="right"/>
            </w:pPr>
            <w:r w:rsidRPr="009F4484">
              <w:t>15.335</w:t>
            </w:r>
          </w:p>
        </w:tc>
      </w:tr>
      <w:tr w:rsidR="008F78E3" w:rsidTr="008F78E3">
        <w:tc>
          <w:tcPr>
            <w:tcW w:w="2287" w:type="dxa"/>
          </w:tcPr>
          <w:p w:rsidR="008F78E3" w:rsidRDefault="008F78E3" w:rsidP="0027103E">
            <w:r>
              <w:t>Capital spend</w:t>
            </w:r>
          </w:p>
        </w:tc>
        <w:tc>
          <w:tcPr>
            <w:tcW w:w="1701" w:type="dxa"/>
          </w:tcPr>
          <w:p w:rsidR="008F78E3" w:rsidRDefault="008F78E3" w:rsidP="0027103E">
            <w:pPr>
              <w:jc w:val="right"/>
            </w:pPr>
            <w:r>
              <w:t>0.290</w:t>
            </w:r>
          </w:p>
        </w:tc>
        <w:tc>
          <w:tcPr>
            <w:tcW w:w="1559" w:type="dxa"/>
          </w:tcPr>
          <w:p w:rsidR="008F78E3" w:rsidRPr="009F4484" w:rsidRDefault="008F78E3" w:rsidP="0027103E">
            <w:pPr>
              <w:jc w:val="right"/>
            </w:pPr>
            <w:r w:rsidRPr="009F4484">
              <w:t>1.325</w:t>
            </w:r>
          </w:p>
        </w:tc>
      </w:tr>
    </w:tbl>
    <w:p w:rsidR="0047737C" w:rsidRDefault="0047737C" w:rsidP="00603635"/>
    <w:sectPr w:rsidR="0047737C" w:rsidSect="00CF4BE3">
      <w:headerReference w:type="default" r:id="rId8"/>
      <w:footerReference w:type="default" r:id="rId9"/>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5FC" w:rsidRDefault="007E35FC">
      <w:r>
        <w:separator/>
      </w:r>
    </w:p>
    <w:p w:rsidR="007E35FC" w:rsidRDefault="007E35FC"/>
    <w:p w:rsidR="007E35FC" w:rsidRDefault="007E35FC"/>
  </w:endnote>
  <w:endnote w:type="continuationSeparator" w:id="0">
    <w:p w:rsidR="007E35FC" w:rsidRDefault="007E35FC">
      <w:r>
        <w:continuationSeparator/>
      </w:r>
    </w:p>
    <w:p w:rsidR="007E35FC" w:rsidRDefault="007E35FC"/>
    <w:p w:rsidR="007E35FC" w:rsidRDefault="007E3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8F6AA9">
      <w:rPr>
        <w:noProof/>
      </w:rPr>
      <w:t>1</w:t>
    </w:r>
    <w:r>
      <w:fldChar w:fldCharType="end"/>
    </w:r>
    <w:r>
      <w:t xml:space="preserve"> of </w:t>
    </w:r>
    <w:r w:rsidR="008F78E3">
      <w:fldChar w:fldCharType="begin"/>
    </w:r>
    <w:r w:rsidR="008F78E3">
      <w:instrText xml:space="preserve"> NUMPAGES   \* MERGEFORMAT </w:instrText>
    </w:r>
    <w:r w:rsidR="008F78E3">
      <w:fldChar w:fldCharType="separate"/>
    </w:r>
    <w:r w:rsidR="008F6AA9">
      <w:rPr>
        <w:noProof/>
      </w:rPr>
      <w:t>4</w:t>
    </w:r>
    <w:r w:rsidR="008F78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5FC" w:rsidRDefault="007E35FC" w:rsidP="00FB1990">
      <w:pPr>
        <w:pStyle w:val="Spacer"/>
      </w:pPr>
      <w:r>
        <w:separator/>
      </w:r>
    </w:p>
    <w:p w:rsidR="007E35FC" w:rsidRDefault="007E35FC" w:rsidP="00FB1990">
      <w:pPr>
        <w:pStyle w:val="Spacer"/>
      </w:pPr>
    </w:p>
  </w:footnote>
  <w:footnote w:type="continuationSeparator" w:id="0">
    <w:p w:rsidR="007E35FC" w:rsidRDefault="007E35FC">
      <w:r>
        <w:continuationSeparator/>
      </w:r>
    </w:p>
    <w:p w:rsidR="007E35FC" w:rsidRDefault="007E35FC"/>
    <w:p w:rsidR="007E35FC" w:rsidRDefault="007E3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0AF" w:rsidRDefault="00754080" w:rsidP="00754080">
    <w:pPr>
      <w:pStyle w:val="Header"/>
      <w:ind w:left="2268" w:firstLine="567"/>
    </w:pPr>
    <w:r>
      <w:rPr>
        <w:noProof/>
        <w:lang w:eastAsia="en-NZ"/>
      </w:rPr>
      <w:drawing>
        <wp:inline distT="0" distB="0" distL="0" distR="0" wp14:anchorId="3183A1EF" wp14:editId="21E822CC">
          <wp:extent cx="3552825" cy="762000"/>
          <wp:effectExtent l="0" t="0" r="9525" b="0"/>
          <wp:docPr id="1" name="Picture 1" descr="cid:image003.jpg@01D530DE.11DFF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30DE.11DFF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52825" cy="762000"/>
                  </a:xfrm>
                  <a:prstGeom prst="rect">
                    <a:avLst/>
                  </a:prstGeom>
                  <a:noFill/>
                  <a:ln>
                    <a:noFill/>
                  </a:ln>
                </pic:spPr>
              </pic:pic>
            </a:graphicData>
          </a:graphic>
        </wp:inline>
      </w:drawing>
    </w:r>
  </w:p>
  <w:p w:rsidR="00677F8A" w:rsidRPr="00591BDC" w:rsidRDefault="00677F8A" w:rsidP="00591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2642EEE"/>
    <w:multiLevelType w:val="hybridMultilevel"/>
    <w:tmpl w:val="1B5016A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1496EDD"/>
    <w:multiLevelType w:val="hybridMultilevel"/>
    <w:tmpl w:val="CACEC3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66D3290"/>
    <w:multiLevelType w:val="hybridMultilevel"/>
    <w:tmpl w:val="5B3ED1E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7" w15:restartNumberingAfterBreak="0">
    <w:nsid w:val="7A7E15B6"/>
    <w:multiLevelType w:val="hybridMultilevel"/>
    <w:tmpl w:val="15D25C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3"/>
  </w:num>
  <w:num w:numId="13">
    <w:abstractNumId w:val="25"/>
  </w:num>
  <w:num w:numId="14">
    <w:abstractNumId w:val="7"/>
  </w:num>
  <w:num w:numId="15">
    <w:abstractNumId w:val="12"/>
  </w:num>
  <w:num w:numId="16">
    <w:abstractNumId w:val="26"/>
  </w:num>
  <w:num w:numId="17">
    <w:abstractNumId w:val="24"/>
  </w:num>
  <w:num w:numId="18">
    <w:abstractNumId w:val="21"/>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 w:numId="26">
    <w:abstractNumId w:val="20"/>
  </w:num>
  <w:num w:numId="27">
    <w:abstractNumId w:val="27"/>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8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84"/>
    <w:rsid w:val="00003360"/>
    <w:rsid w:val="00003FC7"/>
    <w:rsid w:val="00005919"/>
    <w:rsid w:val="00007C42"/>
    <w:rsid w:val="00015020"/>
    <w:rsid w:val="0001647B"/>
    <w:rsid w:val="00020010"/>
    <w:rsid w:val="00034673"/>
    <w:rsid w:val="00036671"/>
    <w:rsid w:val="00037226"/>
    <w:rsid w:val="000409E2"/>
    <w:rsid w:val="00044EA1"/>
    <w:rsid w:val="00053CC5"/>
    <w:rsid w:val="00054574"/>
    <w:rsid w:val="0005649A"/>
    <w:rsid w:val="000638B2"/>
    <w:rsid w:val="00063BB2"/>
    <w:rsid w:val="00065F18"/>
    <w:rsid w:val="00067005"/>
    <w:rsid w:val="00076035"/>
    <w:rsid w:val="00077013"/>
    <w:rsid w:val="00091C3A"/>
    <w:rsid w:val="00093499"/>
    <w:rsid w:val="000D61F6"/>
    <w:rsid w:val="000E3240"/>
    <w:rsid w:val="000E677B"/>
    <w:rsid w:val="000F4ADF"/>
    <w:rsid w:val="000F61AF"/>
    <w:rsid w:val="0010171C"/>
    <w:rsid w:val="00102FAD"/>
    <w:rsid w:val="00121870"/>
    <w:rsid w:val="00123182"/>
    <w:rsid w:val="00126FDE"/>
    <w:rsid w:val="0013703F"/>
    <w:rsid w:val="00140ED2"/>
    <w:rsid w:val="00143E7C"/>
    <w:rsid w:val="0014415C"/>
    <w:rsid w:val="0014565E"/>
    <w:rsid w:val="001536C9"/>
    <w:rsid w:val="00157200"/>
    <w:rsid w:val="0016433D"/>
    <w:rsid w:val="001778CF"/>
    <w:rsid w:val="00184C0F"/>
    <w:rsid w:val="001A5F55"/>
    <w:rsid w:val="001C0031"/>
    <w:rsid w:val="001C0C30"/>
    <w:rsid w:val="001D0111"/>
    <w:rsid w:val="001D7EAE"/>
    <w:rsid w:val="001E64FC"/>
    <w:rsid w:val="001F0724"/>
    <w:rsid w:val="002007DF"/>
    <w:rsid w:val="00205FE8"/>
    <w:rsid w:val="0020698B"/>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147C"/>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0D80"/>
    <w:rsid w:val="00411341"/>
    <w:rsid w:val="00413966"/>
    <w:rsid w:val="00414502"/>
    <w:rsid w:val="00415015"/>
    <w:rsid w:val="00415CDB"/>
    <w:rsid w:val="004231DC"/>
    <w:rsid w:val="0042551E"/>
    <w:rsid w:val="00433AD8"/>
    <w:rsid w:val="00437A53"/>
    <w:rsid w:val="00441DD0"/>
    <w:rsid w:val="004552A0"/>
    <w:rsid w:val="00457E34"/>
    <w:rsid w:val="00460A83"/>
    <w:rsid w:val="00460B3F"/>
    <w:rsid w:val="00464752"/>
    <w:rsid w:val="00472A55"/>
    <w:rsid w:val="00475FF4"/>
    <w:rsid w:val="00476068"/>
    <w:rsid w:val="004763B3"/>
    <w:rsid w:val="0047737C"/>
    <w:rsid w:val="00477619"/>
    <w:rsid w:val="00477D24"/>
    <w:rsid w:val="00486E6E"/>
    <w:rsid w:val="004875DF"/>
    <w:rsid w:val="00487C1D"/>
    <w:rsid w:val="00493F15"/>
    <w:rsid w:val="00494C6F"/>
    <w:rsid w:val="004A5823"/>
    <w:rsid w:val="004B0AAF"/>
    <w:rsid w:val="004B214C"/>
    <w:rsid w:val="004B3924"/>
    <w:rsid w:val="004C4DDD"/>
    <w:rsid w:val="004C5F40"/>
    <w:rsid w:val="004C6953"/>
    <w:rsid w:val="004C7001"/>
    <w:rsid w:val="004D1706"/>
    <w:rsid w:val="004D243F"/>
    <w:rsid w:val="004D7473"/>
    <w:rsid w:val="004E4303"/>
    <w:rsid w:val="004F11C0"/>
    <w:rsid w:val="004F2E8A"/>
    <w:rsid w:val="004F55E1"/>
    <w:rsid w:val="00501C4B"/>
    <w:rsid w:val="005028A7"/>
    <w:rsid w:val="005078B7"/>
    <w:rsid w:val="00510D73"/>
    <w:rsid w:val="00512ACB"/>
    <w:rsid w:val="0052216D"/>
    <w:rsid w:val="00526115"/>
    <w:rsid w:val="00533FAF"/>
    <w:rsid w:val="005366B6"/>
    <w:rsid w:val="00554BCD"/>
    <w:rsid w:val="00555F60"/>
    <w:rsid w:val="00560161"/>
    <w:rsid w:val="005605A5"/>
    <w:rsid w:val="00560B3C"/>
    <w:rsid w:val="00561A97"/>
    <w:rsid w:val="00563DAC"/>
    <w:rsid w:val="005675E0"/>
    <w:rsid w:val="00570A71"/>
    <w:rsid w:val="00570C00"/>
    <w:rsid w:val="00575727"/>
    <w:rsid w:val="00576AAA"/>
    <w:rsid w:val="00581CF4"/>
    <w:rsid w:val="0058206B"/>
    <w:rsid w:val="005850AF"/>
    <w:rsid w:val="00585690"/>
    <w:rsid w:val="00585751"/>
    <w:rsid w:val="00591BDC"/>
    <w:rsid w:val="00594AAA"/>
    <w:rsid w:val="00595B33"/>
    <w:rsid w:val="0059662F"/>
    <w:rsid w:val="005B7254"/>
    <w:rsid w:val="005C0CD3"/>
    <w:rsid w:val="005C29C5"/>
    <w:rsid w:val="005D3066"/>
    <w:rsid w:val="005E4B13"/>
    <w:rsid w:val="005E4C02"/>
    <w:rsid w:val="005F01DF"/>
    <w:rsid w:val="005F76CC"/>
    <w:rsid w:val="005F7FF8"/>
    <w:rsid w:val="006004C4"/>
    <w:rsid w:val="00600CA4"/>
    <w:rsid w:val="00602416"/>
    <w:rsid w:val="006025CE"/>
    <w:rsid w:val="00603635"/>
    <w:rsid w:val="006041F2"/>
    <w:rsid w:val="006064F5"/>
    <w:rsid w:val="006130AF"/>
    <w:rsid w:val="00617298"/>
    <w:rsid w:val="00637753"/>
    <w:rsid w:val="00660CE4"/>
    <w:rsid w:val="00662716"/>
    <w:rsid w:val="00676C9F"/>
    <w:rsid w:val="00677B13"/>
    <w:rsid w:val="00677C11"/>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6F164C"/>
    <w:rsid w:val="00702F2C"/>
    <w:rsid w:val="007068C8"/>
    <w:rsid w:val="00715B8F"/>
    <w:rsid w:val="007165E2"/>
    <w:rsid w:val="0073106E"/>
    <w:rsid w:val="00754080"/>
    <w:rsid w:val="00755142"/>
    <w:rsid w:val="00756BB7"/>
    <w:rsid w:val="0075764B"/>
    <w:rsid w:val="00760C01"/>
    <w:rsid w:val="00761293"/>
    <w:rsid w:val="00767C04"/>
    <w:rsid w:val="007736A2"/>
    <w:rsid w:val="007A40FA"/>
    <w:rsid w:val="007A5A49"/>
    <w:rsid w:val="007A6226"/>
    <w:rsid w:val="007B35AD"/>
    <w:rsid w:val="007B3C61"/>
    <w:rsid w:val="007B5376"/>
    <w:rsid w:val="007D1918"/>
    <w:rsid w:val="007E35FC"/>
    <w:rsid w:val="007F03F2"/>
    <w:rsid w:val="007F0C3F"/>
    <w:rsid w:val="007F1A71"/>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64121"/>
    <w:rsid w:val="00870045"/>
    <w:rsid w:val="00876E5F"/>
    <w:rsid w:val="00884A12"/>
    <w:rsid w:val="00890CE4"/>
    <w:rsid w:val="00891ED7"/>
    <w:rsid w:val="008B7B54"/>
    <w:rsid w:val="008C3187"/>
    <w:rsid w:val="008C5E4F"/>
    <w:rsid w:val="008D63B7"/>
    <w:rsid w:val="008D6A03"/>
    <w:rsid w:val="008D6CA7"/>
    <w:rsid w:val="008E508C"/>
    <w:rsid w:val="008E7FEE"/>
    <w:rsid w:val="008F1E73"/>
    <w:rsid w:val="008F2F06"/>
    <w:rsid w:val="008F31F5"/>
    <w:rsid w:val="008F67F5"/>
    <w:rsid w:val="008F6AA9"/>
    <w:rsid w:val="008F6BCE"/>
    <w:rsid w:val="008F78E3"/>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1AE"/>
    <w:rsid w:val="009C13FB"/>
    <w:rsid w:val="009D28CF"/>
    <w:rsid w:val="009E5D36"/>
    <w:rsid w:val="009E6375"/>
    <w:rsid w:val="009E7CA0"/>
    <w:rsid w:val="009F4484"/>
    <w:rsid w:val="00A04392"/>
    <w:rsid w:val="00A04860"/>
    <w:rsid w:val="00A069CE"/>
    <w:rsid w:val="00A109D8"/>
    <w:rsid w:val="00A16003"/>
    <w:rsid w:val="00A167D7"/>
    <w:rsid w:val="00A23D39"/>
    <w:rsid w:val="00A23EC2"/>
    <w:rsid w:val="00A24FBB"/>
    <w:rsid w:val="00A3453E"/>
    <w:rsid w:val="00A42ED2"/>
    <w:rsid w:val="00A44B33"/>
    <w:rsid w:val="00A465F7"/>
    <w:rsid w:val="00A50E00"/>
    <w:rsid w:val="00A52529"/>
    <w:rsid w:val="00A53624"/>
    <w:rsid w:val="00A55EAF"/>
    <w:rsid w:val="00A5766B"/>
    <w:rsid w:val="00A65FAB"/>
    <w:rsid w:val="00A73D07"/>
    <w:rsid w:val="00A75F29"/>
    <w:rsid w:val="00A77512"/>
    <w:rsid w:val="00A863E3"/>
    <w:rsid w:val="00A94161"/>
    <w:rsid w:val="00A97BFB"/>
    <w:rsid w:val="00AA7469"/>
    <w:rsid w:val="00AB0BBC"/>
    <w:rsid w:val="00AB3A92"/>
    <w:rsid w:val="00AB478B"/>
    <w:rsid w:val="00AB47AC"/>
    <w:rsid w:val="00AB4AD9"/>
    <w:rsid w:val="00AD6E77"/>
    <w:rsid w:val="00AD7A25"/>
    <w:rsid w:val="00AE2666"/>
    <w:rsid w:val="00AE478C"/>
    <w:rsid w:val="00AE751C"/>
    <w:rsid w:val="00AF3A5A"/>
    <w:rsid w:val="00AF3E15"/>
    <w:rsid w:val="00AF510B"/>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B7E05"/>
    <w:rsid w:val="00BC45F7"/>
    <w:rsid w:val="00BC6A06"/>
    <w:rsid w:val="00BD137C"/>
    <w:rsid w:val="00BE3BC7"/>
    <w:rsid w:val="00BF1AB7"/>
    <w:rsid w:val="00BF2033"/>
    <w:rsid w:val="00BF26EE"/>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B6786"/>
    <w:rsid w:val="00CC4DAF"/>
    <w:rsid w:val="00CD502A"/>
    <w:rsid w:val="00CF12CF"/>
    <w:rsid w:val="00CF48BF"/>
    <w:rsid w:val="00CF4BE3"/>
    <w:rsid w:val="00D060D2"/>
    <w:rsid w:val="00D111C1"/>
    <w:rsid w:val="00D13E2D"/>
    <w:rsid w:val="00D14394"/>
    <w:rsid w:val="00D242CD"/>
    <w:rsid w:val="00D26F74"/>
    <w:rsid w:val="00D27B2C"/>
    <w:rsid w:val="00D341C3"/>
    <w:rsid w:val="00D42843"/>
    <w:rsid w:val="00D5152A"/>
    <w:rsid w:val="00D560EB"/>
    <w:rsid w:val="00D65145"/>
    <w:rsid w:val="00D70300"/>
    <w:rsid w:val="00D73D87"/>
    <w:rsid w:val="00D74314"/>
    <w:rsid w:val="00D81410"/>
    <w:rsid w:val="00D92505"/>
    <w:rsid w:val="00DA267C"/>
    <w:rsid w:val="00DA27B3"/>
    <w:rsid w:val="00DA5101"/>
    <w:rsid w:val="00DA79EF"/>
    <w:rsid w:val="00DB0C0B"/>
    <w:rsid w:val="00DB305D"/>
    <w:rsid w:val="00DB3B74"/>
    <w:rsid w:val="00DC5870"/>
    <w:rsid w:val="00DD0384"/>
    <w:rsid w:val="00DD04AA"/>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2A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1E43"/>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18FFDFD-75ED-4F2D-A189-10B631AD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16458">
      <w:bodyDiv w:val="1"/>
      <w:marLeft w:val="0"/>
      <w:marRight w:val="0"/>
      <w:marTop w:val="0"/>
      <w:marBottom w:val="0"/>
      <w:divBdr>
        <w:top w:val="none" w:sz="0" w:space="0" w:color="auto"/>
        <w:left w:val="none" w:sz="0" w:space="0" w:color="auto"/>
        <w:bottom w:val="none" w:sz="0" w:space="0" w:color="auto"/>
        <w:right w:val="none" w:sz="0" w:space="0" w:color="auto"/>
      </w:divBdr>
    </w:div>
    <w:div w:id="696010315">
      <w:bodyDiv w:val="1"/>
      <w:marLeft w:val="0"/>
      <w:marRight w:val="0"/>
      <w:marTop w:val="0"/>
      <w:marBottom w:val="0"/>
      <w:divBdr>
        <w:top w:val="none" w:sz="0" w:space="0" w:color="auto"/>
        <w:left w:val="none" w:sz="0" w:space="0" w:color="auto"/>
        <w:bottom w:val="none" w:sz="0" w:space="0" w:color="auto"/>
        <w:right w:val="none" w:sz="0" w:space="0" w:color="auto"/>
      </w:divBdr>
    </w:div>
    <w:div w:id="710883002">
      <w:bodyDiv w:val="1"/>
      <w:marLeft w:val="0"/>
      <w:marRight w:val="0"/>
      <w:marTop w:val="0"/>
      <w:marBottom w:val="0"/>
      <w:divBdr>
        <w:top w:val="none" w:sz="0" w:space="0" w:color="auto"/>
        <w:left w:val="none" w:sz="0" w:space="0" w:color="auto"/>
        <w:bottom w:val="none" w:sz="0" w:space="0" w:color="auto"/>
        <w:right w:val="none" w:sz="0" w:space="0" w:color="auto"/>
      </w:divBdr>
      <w:divsChild>
        <w:div w:id="1607813967">
          <w:marLeft w:val="0"/>
          <w:marRight w:val="0"/>
          <w:marTop w:val="0"/>
          <w:marBottom w:val="0"/>
          <w:divBdr>
            <w:top w:val="none" w:sz="0" w:space="0" w:color="auto"/>
            <w:left w:val="none" w:sz="0" w:space="0" w:color="auto"/>
            <w:bottom w:val="none" w:sz="0" w:space="0" w:color="auto"/>
            <w:right w:val="none" w:sz="0" w:space="0" w:color="auto"/>
          </w:divBdr>
          <w:divsChild>
            <w:div w:id="861014783">
              <w:marLeft w:val="0"/>
              <w:marRight w:val="0"/>
              <w:marTop w:val="0"/>
              <w:marBottom w:val="0"/>
              <w:divBdr>
                <w:top w:val="none" w:sz="0" w:space="0" w:color="auto"/>
                <w:left w:val="none" w:sz="0" w:space="0" w:color="auto"/>
                <w:bottom w:val="none" w:sz="0" w:space="0" w:color="auto"/>
                <w:right w:val="none" w:sz="0" w:space="0" w:color="auto"/>
              </w:divBdr>
              <w:divsChild>
                <w:div w:id="360055829">
                  <w:marLeft w:val="0"/>
                  <w:marRight w:val="0"/>
                  <w:marTop w:val="0"/>
                  <w:marBottom w:val="0"/>
                  <w:divBdr>
                    <w:top w:val="single" w:sz="6" w:space="0" w:color="6B9060"/>
                    <w:left w:val="single" w:sz="6" w:space="0" w:color="6B9060"/>
                    <w:bottom w:val="single" w:sz="6" w:space="0" w:color="6B9060"/>
                    <w:right w:val="single" w:sz="6" w:space="0" w:color="6B9060"/>
                  </w:divBdr>
                  <w:divsChild>
                    <w:div w:id="25983142">
                      <w:marLeft w:val="300"/>
                      <w:marRight w:val="300"/>
                      <w:marTop w:val="0"/>
                      <w:marBottom w:val="0"/>
                      <w:divBdr>
                        <w:top w:val="none" w:sz="0" w:space="0" w:color="auto"/>
                        <w:left w:val="none" w:sz="0" w:space="0" w:color="auto"/>
                        <w:bottom w:val="none" w:sz="0" w:space="0" w:color="auto"/>
                        <w:right w:val="none" w:sz="0" w:space="0" w:color="auto"/>
                      </w:divBdr>
                      <w:divsChild>
                        <w:div w:id="17935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530DE.11DFF2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2990-1E08-4F39-86DE-0B7422A7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Pervan</dc:creator>
  <cp:lastModifiedBy>Blair McLaren</cp:lastModifiedBy>
  <cp:revision>3</cp:revision>
  <cp:lastPrinted>2019-08-15T03:33:00Z</cp:lastPrinted>
  <dcterms:created xsi:type="dcterms:W3CDTF">2019-10-22T01:01:00Z</dcterms:created>
  <dcterms:modified xsi:type="dcterms:W3CDTF">2019-10-22T01:03:00Z</dcterms:modified>
</cp:coreProperties>
</file>