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A486" w14:textId="2D0DF98B" w:rsidR="00BE67AB" w:rsidRDefault="008D3027" w:rsidP="00BE67AB">
      <w:pPr>
        <w:jc w:val="right"/>
      </w:pPr>
      <w:r w:rsidRPr="00FA5886">
        <w:rPr>
          <w:rFonts w:ascii="Arial" w:hAnsi="Arial" w:cs="Arial"/>
          <w:noProof/>
        </w:rPr>
        <w:drawing>
          <wp:anchor distT="0" distB="0" distL="114300" distR="114300" simplePos="0" relativeHeight="251659264" behindDoc="0" locked="0" layoutInCell="1" allowOverlap="1" wp14:anchorId="0C2B25E3" wp14:editId="40BE9A6E">
            <wp:simplePos x="0" y="0"/>
            <wp:positionH relativeFrom="column">
              <wp:posOffset>3403600</wp:posOffset>
            </wp:positionH>
            <wp:positionV relativeFrom="paragraph">
              <wp:posOffset>0</wp:posOffset>
            </wp:positionV>
            <wp:extent cx="2604770" cy="559435"/>
            <wp:effectExtent l="0" t="0" r="5080" b="0"/>
            <wp:wrapThrough wrapText="bothSides">
              <wp:wrapPolygon edited="0">
                <wp:start x="0" y="0"/>
                <wp:lineTo x="0" y="20595"/>
                <wp:lineTo x="21484" y="20595"/>
                <wp:lineTo x="2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477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9612E" w14:textId="77777777" w:rsidR="00BE67AB" w:rsidRDefault="00BE67AB" w:rsidP="00BE67AB"/>
    <w:p w14:paraId="22E1D38A" w14:textId="6B3740AE" w:rsidR="00BE67AB" w:rsidRPr="008D4934" w:rsidRDefault="008D3027" w:rsidP="00BE67AB">
      <w:pPr>
        <w:rPr>
          <w:b/>
          <w:sz w:val="36"/>
          <w:szCs w:val="36"/>
        </w:rPr>
      </w:pPr>
      <w:r>
        <w:rPr>
          <w:b/>
          <w:sz w:val="36"/>
          <w:szCs w:val="36"/>
        </w:rPr>
        <w:br/>
      </w:r>
      <w:r w:rsidR="00BE67AB" w:rsidRPr="008D4934">
        <w:rPr>
          <w:b/>
          <w:sz w:val="36"/>
          <w:szCs w:val="36"/>
        </w:rPr>
        <w:t>Royal Commission into Historical Abuse in State Care and in the Care of Faith-Based Institutions</w:t>
      </w:r>
    </w:p>
    <w:p w14:paraId="4C7D26F4" w14:textId="77777777" w:rsidR="00BE67AB" w:rsidRPr="008D4934" w:rsidRDefault="00BE67AB" w:rsidP="00BE67AB">
      <w:pPr>
        <w:rPr>
          <w:b/>
          <w:sz w:val="36"/>
          <w:szCs w:val="36"/>
        </w:rPr>
      </w:pPr>
    </w:p>
    <w:p w14:paraId="784C45F7" w14:textId="6515C7B2" w:rsidR="00BE67AB" w:rsidRPr="008D4934" w:rsidRDefault="00BE67AB" w:rsidP="00BE67AB">
      <w:pPr>
        <w:contextualSpacing/>
        <w:rPr>
          <w:b/>
          <w:sz w:val="36"/>
          <w:szCs w:val="36"/>
        </w:rPr>
      </w:pPr>
      <w:r w:rsidRPr="008D4934">
        <w:rPr>
          <w:b/>
          <w:sz w:val="36"/>
          <w:szCs w:val="36"/>
        </w:rPr>
        <w:t xml:space="preserve">Quarterly Report </w:t>
      </w:r>
      <w:r>
        <w:rPr>
          <w:b/>
          <w:sz w:val="36"/>
          <w:szCs w:val="36"/>
        </w:rPr>
        <w:t>(</w:t>
      </w:r>
      <w:r w:rsidR="00B73AFB">
        <w:rPr>
          <w:b/>
          <w:sz w:val="36"/>
          <w:szCs w:val="36"/>
        </w:rPr>
        <w:t xml:space="preserve">1 April </w:t>
      </w:r>
      <w:r>
        <w:rPr>
          <w:b/>
          <w:sz w:val="36"/>
          <w:szCs w:val="36"/>
        </w:rPr>
        <w:t>– 3</w:t>
      </w:r>
      <w:r w:rsidR="00B73AFB">
        <w:rPr>
          <w:b/>
          <w:sz w:val="36"/>
          <w:szCs w:val="36"/>
        </w:rPr>
        <w:t xml:space="preserve">0 June </w:t>
      </w:r>
      <w:r w:rsidR="00D14499">
        <w:rPr>
          <w:b/>
          <w:sz w:val="36"/>
          <w:szCs w:val="36"/>
        </w:rPr>
        <w:t>2021</w:t>
      </w:r>
      <w:r>
        <w:rPr>
          <w:b/>
          <w:sz w:val="36"/>
          <w:szCs w:val="36"/>
        </w:rPr>
        <w:t>)</w:t>
      </w:r>
    </w:p>
    <w:p w14:paraId="21250114" w14:textId="77777777" w:rsidR="00BE67AB" w:rsidRDefault="00BE67AB" w:rsidP="00BE67AB">
      <w:pPr>
        <w:contextualSpacing/>
        <w:rPr>
          <w:b/>
          <w:sz w:val="36"/>
          <w:szCs w:val="36"/>
        </w:rPr>
      </w:pPr>
    </w:p>
    <w:p w14:paraId="5ED9923D" w14:textId="77777777" w:rsidR="00BE67AB" w:rsidRDefault="00BE67AB" w:rsidP="00BE67AB">
      <w:pPr>
        <w:contextualSpacing/>
        <w:rPr>
          <w:b/>
          <w:sz w:val="36"/>
          <w:szCs w:val="36"/>
        </w:rPr>
      </w:pPr>
    </w:p>
    <w:p w14:paraId="5BCC2A51" w14:textId="77777777" w:rsidR="00BE67AB" w:rsidRDefault="00BE67AB" w:rsidP="00BE67AB">
      <w:pPr>
        <w:contextualSpacing/>
        <w:rPr>
          <w:b/>
          <w:sz w:val="36"/>
          <w:szCs w:val="36"/>
        </w:rPr>
      </w:pPr>
    </w:p>
    <w:p w14:paraId="42803E71" w14:textId="77777777" w:rsidR="00BE67AB" w:rsidRPr="008D4934" w:rsidRDefault="00BE67AB" w:rsidP="00BE67AB">
      <w:pPr>
        <w:contextualSpacing/>
        <w:rPr>
          <w:b/>
        </w:rPr>
      </w:pPr>
    </w:p>
    <w:p w14:paraId="4CE846CC" w14:textId="77777777" w:rsidR="00BE67AB" w:rsidRDefault="00BE67AB">
      <w:pPr>
        <w:keepLines w:val="0"/>
        <w:rPr>
          <w:rFonts w:asciiTheme="minorHAnsi" w:hAnsiTheme="minorHAnsi" w:cstheme="minorHAnsi"/>
          <w:b/>
        </w:rPr>
      </w:pPr>
      <w:r>
        <w:rPr>
          <w:rFonts w:asciiTheme="minorHAnsi" w:hAnsiTheme="minorHAnsi" w:cstheme="minorHAnsi"/>
          <w:b/>
        </w:rPr>
        <w:br w:type="page"/>
      </w:r>
    </w:p>
    <w:p w14:paraId="05F0E079" w14:textId="77777777" w:rsidR="00BE67AB" w:rsidRPr="00BE67AB" w:rsidRDefault="00BE67AB" w:rsidP="00BE67AB">
      <w:pPr>
        <w:pStyle w:val="Heading1"/>
      </w:pPr>
      <w:r w:rsidRPr="00E11D08">
        <w:lastRenderedPageBreak/>
        <w:t>Overall comments</w:t>
      </w:r>
    </w:p>
    <w:p w14:paraId="04E025B4" w14:textId="77777777" w:rsidR="00BE67AB" w:rsidRPr="004652C3" w:rsidRDefault="00BE67AB" w:rsidP="00BE67AB">
      <w:pPr>
        <w:rPr>
          <w:rFonts w:asciiTheme="minorHAnsi" w:hAnsiTheme="minorHAnsi" w:cstheme="minorHAnsi"/>
          <w:b/>
        </w:rPr>
      </w:pPr>
      <w:r w:rsidRPr="004652C3">
        <w:rPr>
          <w:rFonts w:asciiTheme="minorHAnsi" w:hAnsiTheme="minorHAnsi" w:cstheme="minorHAnsi"/>
          <w:b/>
        </w:rPr>
        <w:t>Purpose</w:t>
      </w:r>
    </w:p>
    <w:p w14:paraId="26131028" w14:textId="3E499803" w:rsidR="00BE67AB" w:rsidRDefault="00BE67AB" w:rsidP="00746FBE">
      <w:pPr>
        <w:keepLines w:val="0"/>
        <w:spacing w:before="0" w:after="0"/>
        <w:rPr>
          <w:rFonts w:cs="Calibri"/>
        </w:rPr>
      </w:pPr>
      <w:bookmarkStart w:id="0" w:name="_GoBack"/>
      <w:r>
        <w:rPr>
          <w:rFonts w:cs="Calibri"/>
        </w:rPr>
        <w:t xml:space="preserve">This report updates the high-level activity and performance expectations of </w:t>
      </w:r>
      <w:r w:rsidRPr="00094734">
        <w:rPr>
          <w:rFonts w:cs="Calibri"/>
        </w:rPr>
        <w:t xml:space="preserve">the Royal Commission into Historical Abuse in State Care and in the Care of Faith-based Institutions (the </w:t>
      </w:r>
      <w:r>
        <w:rPr>
          <w:rFonts w:cs="Calibri"/>
        </w:rPr>
        <w:t>Inquiry</w:t>
      </w:r>
      <w:r w:rsidRPr="00094734">
        <w:rPr>
          <w:rFonts w:cs="Calibri"/>
        </w:rPr>
        <w:t xml:space="preserve">) for </w:t>
      </w:r>
      <w:r w:rsidR="00094178">
        <w:rPr>
          <w:rFonts w:cs="Calibri"/>
        </w:rPr>
        <w:t xml:space="preserve">the </w:t>
      </w:r>
      <w:r w:rsidRPr="00E11D08">
        <w:rPr>
          <w:rFonts w:cs="Calibri"/>
        </w:rPr>
        <w:t>2020/</w:t>
      </w:r>
      <w:r w:rsidR="00351BEA">
        <w:rPr>
          <w:rFonts w:cs="Calibri"/>
        </w:rPr>
        <w:t>20</w:t>
      </w:r>
      <w:r w:rsidRPr="00E11D08">
        <w:rPr>
          <w:rFonts w:cs="Calibri"/>
        </w:rPr>
        <w:t>21</w:t>
      </w:r>
      <w:r w:rsidR="00094178">
        <w:rPr>
          <w:rFonts w:cs="Calibri"/>
        </w:rPr>
        <w:t xml:space="preserve"> year for the</w:t>
      </w:r>
      <w:r>
        <w:rPr>
          <w:rFonts w:cs="Calibri"/>
        </w:rPr>
        <w:t xml:space="preserve"> </w:t>
      </w:r>
      <w:r w:rsidR="002B3126">
        <w:rPr>
          <w:rFonts w:cs="Calibri"/>
        </w:rPr>
        <w:t xml:space="preserve">quarter ended </w:t>
      </w:r>
      <w:r w:rsidR="00F965C0">
        <w:rPr>
          <w:rFonts w:cs="Calibri"/>
        </w:rPr>
        <w:t>30 June</w:t>
      </w:r>
      <w:r w:rsidR="00D14499">
        <w:rPr>
          <w:rFonts w:cs="Calibri"/>
        </w:rPr>
        <w:t xml:space="preserve"> 2021.</w:t>
      </w:r>
      <w:r>
        <w:rPr>
          <w:rFonts w:cs="Calibri"/>
        </w:rPr>
        <w:t xml:space="preserve"> </w:t>
      </w:r>
    </w:p>
    <w:bookmarkEnd w:id="0"/>
    <w:p w14:paraId="7BA95D21" w14:textId="77777777" w:rsidR="00746FBE" w:rsidRPr="00094734" w:rsidRDefault="00746FBE" w:rsidP="00746FBE">
      <w:pPr>
        <w:keepLines w:val="0"/>
        <w:spacing w:before="0" w:after="0"/>
        <w:rPr>
          <w:rFonts w:cs="Calibri"/>
        </w:rPr>
      </w:pPr>
    </w:p>
    <w:p w14:paraId="445F96FD" w14:textId="2B66A96F" w:rsidR="00BE67AB" w:rsidRDefault="00BE67AB" w:rsidP="00746FBE">
      <w:pPr>
        <w:spacing w:before="0" w:after="0"/>
        <w:rPr>
          <w:rFonts w:cs="Calibri"/>
        </w:rPr>
      </w:pPr>
      <w:r w:rsidRPr="004652C3">
        <w:rPr>
          <w:rFonts w:cs="Calibri"/>
        </w:rPr>
        <w:t>In completing this report, we have had regard to the requirements set out in the Ministeria</w:t>
      </w:r>
      <w:r>
        <w:rPr>
          <w:rFonts w:cs="Calibri"/>
        </w:rPr>
        <w:t>l Letter of Expectations for 2020/21</w:t>
      </w:r>
      <w:r w:rsidR="00154CAF">
        <w:rPr>
          <w:rFonts w:cs="Calibri"/>
        </w:rPr>
        <w:t>,</w:t>
      </w:r>
      <w:r>
        <w:rPr>
          <w:rFonts w:cs="Calibri"/>
        </w:rPr>
        <w:t xml:space="preserve"> </w:t>
      </w:r>
      <w:r w:rsidRPr="004652C3">
        <w:rPr>
          <w:rFonts w:cs="Calibri"/>
        </w:rPr>
        <w:t xml:space="preserve">dated </w:t>
      </w:r>
      <w:r>
        <w:rPr>
          <w:rFonts w:cs="Calibri"/>
        </w:rPr>
        <w:t xml:space="preserve">26 June </w:t>
      </w:r>
      <w:r w:rsidRPr="004652C3">
        <w:rPr>
          <w:rFonts w:cs="Calibri"/>
        </w:rPr>
        <w:t>2020</w:t>
      </w:r>
      <w:r>
        <w:rPr>
          <w:rFonts w:cs="Calibri"/>
        </w:rPr>
        <w:t>.</w:t>
      </w:r>
    </w:p>
    <w:p w14:paraId="1C7ED746" w14:textId="77777777" w:rsidR="00746FBE" w:rsidRPr="002B3126" w:rsidRDefault="00746FBE" w:rsidP="00746FBE">
      <w:pPr>
        <w:spacing w:before="0" w:after="0"/>
        <w:rPr>
          <w:rFonts w:cs="Calibri"/>
        </w:rPr>
      </w:pPr>
    </w:p>
    <w:p w14:paraId="7793AF63" w14:textId="77777777" w:rsidR="005B1E27" w:rsidRDefault="00BE67AB" w:rsidP="00746FBE">
      <w:pPr>
        <w:spacing w:before="0" w:after="0"/>
        <w:contextualSpacing/>
        <w:rPr>
          <w:b/>
        </w:rPr>
      </w:pPr>
      <w:r w:rsidRPr="00687EEA">
        <w:rPr>
          <w:b/>
        </w:rPr>
        <w:t>Progressing core delivery</w:t>
      </w:r>
      <w:r w:rsidR="00970AD3">
        <w:rPr>
          <w:b/>
        </w:rPr>
        <w:t xml:space="preserve"> – </w:t>
      </w:r>
      <w:r w:rsidR="00410501">
        <w:rPr>
          <w:b/>
        </w:rPr>
        <w:t>O</w:t>
      </w:r>
      <w:r w:rsidR="00970AD3">
        <w:rPr>
          <w:b/>
        </w:rPr>
        <w:t>perational highlights</w:t>
      </w:r>
      <w:r w:rsidRPr="00687EEA">
        <w:rPr>
          <w:b/>
        </w:rPr>
        <w:t xml:space="preserve"> </w:t>
      </w:r>
    </w:p>
    <w:p w14:paraId="11A58DC0" w14:textId="77777777" w:rsidR="005B1E27" w:rsidRDefault="005B1E27" w:rsidP="00746FBE">
      <w:pPr>
        <w:spacing w:before="0" w:after="0"/>
        <w:contextualSpacing/>
        <w:rPr>
          <w:b/>
        </w:rPr>
      </w:pPr>
    </w:p>
    <w:p w14:paraId="37C06C2B" w14:textId="7BE088ED" w:rsidR="005B1E27" w:rsidRDefault="005B1E27" w:rsidP="00746FBE">
      <w:pPr>
        <w:spacing w:before="0" w:after="0"/>
        <w:contextualSpacing/>
        <w:rPr>
          <w:u w:val="single"/>
        </w:rPr>
      </w:pPr>
      <w:r w:rsidRPr="005B1E27">
        <w:rPr>
          <w:u w:val="single"/>
        </w:rPr>
        <w:t>Investigations</w:t>
      </w:r>
    </w:p>
    <w:p w14:paraId="643FA4F2" w14:textId="77777777" w:rsidR="007910A1" w:rsidRDefault="007910A1" w:rsidP="00746FBE">
      <w:pPr>
        <w:spacing w:before="0" w:after="0"/>
        <w:contextualSpacing/>
        <w:rPr>
          <w:u w:val="single"/>
        </w:rPr>
      </w:pPr>
    </w:p>
    <w:p w14:paraId="467C50A5" w14:textId="6DF799BA" w:rsidR="0078592D" w:rsidRDefault="007737D0" w:rsidP="00746FBE">
      <w:pPr>
        <w:spacing w:before="0" w:after="0"/>
        <w:contextualSpacing/>
      </w:pPr>
      <w:r w:rsidRPr="00746FBE">
        <w:t>Following</w:t>
      </w:r>
      <w:r w:rsidR="00D64967">
        <w:t xml:space="preserve"> the </w:t>
      </w:r>
      <w:r w:rsidR="002B2C05">
        <w:t>Government</w:t>
      </w:r>
      <w:r w:rsidR="00746FBE">
        <w:t>’s</w:t>
      </w:r>
      <w:r>
        <w:t xml:space="preserve"> </w:t>
      </w:r>
      <w:r w:rsidR="002B2C05">
        <w:t>announcement of changes to the Terms of Reference</w:t>
      </w:r>
      <w:r w:rsidR="00D64967">
        <w:t>, confirmation of the final report delivery date of June 2023 and budget confirmation</w:t>
      </w:r>
      <w:r w:rsidR="007910A1">
        <w:t>,</w:t>
      </w:r>
      <w:r w:rsidR="007910A1" w:rsidRPr="007910A1">
        <w:t xml:space="preserve"> </w:t>
      </w:r>
      <w:r w:rsidR="007910A1">
        <w:t xml:space="preserve">a significant focus for investigations in this quarter has been on </w:t>
      </w:r>
      <w:r w:rsidR="00C13163">
        <w:t xml:space="preserve">developing </w:t>
      </w:r>
      <w:proofErr w:type="spellStart"/>
      <w:r w:rsidR="00C13163">
        <w:t>Tē</w:t>
      </w:r>
      <w:proofErr w:type="spellEnd"/>
      <w:r w:rsidR="00C13163">
        <w:t xml:space="preserve"> </w:t>
      </w:r>
      <w:proofErr w:type="spellStart"/>
      <w:r w:rsidR="00C13163">
        <w:t>Tatōu</w:t>
      </w:r>
      <w:proofErr w:type="spellEnd"/>
      <w:r w:rsidR="00C13163">
        <w:t xml:space="preserve"> </w:t>
      </w:r>
      <w:proofErr w:type="spellStart"/>
      <w:r w:rsidR="00C13163">
        <w:t>Mahere</w:t>
      </w:r>
      <w:proofErr w:type="spellEnd"/>
      <w:r w:rsidR="00C13163">
        <w:t xml:space="preserve">, our new approach to completing the Inquiry. </w:t>
      </w:r>
    </w:p>
    <w:p w14:paraId="2ABF0CB4" w14:textId="7E571899" w:rsidR="00D64967" w:rsidRDefault="00D64967" w:rsidP="00746FBE">
      <w:pPr>
        <w:spacing w:before="0" w:after="0"/>
        <w:contextualSpacing/>
      </w:pPr>
    </w:p>
    <w:p w14:paraId="599F3473" w14:textId="083E7A43" w:rsidR="007910A1" w:rsidRDefault="002031E0" w:rsidP="00746FBE">
      <w:pPr>
        <w:spacing w:before="0" w:after="0"/>
        <w:contextualSpacing/>
      </w:pPr>
      <w:r>
        <w:t>The nine launched investigations continu</w:t>
      </w:r>
      <w:r w:rsidR="007910A1">
        <w:t>e</w:t>
      </w:r>
      <w:r>
        <w:t xml:space="preserve"> to obtain documentary and witnesses evidence, with investigations ex</w:t>
      </w:r>
      <w:r w:rsidR="007910A1">
        <w:t xml:space="preserve">panding </w:t>
      </w:r>
      <w:r>
        <w:t>their wit</w:t>
      </w:r>
      <w:r w:rsidR="007910A1">
        <w:t xml:space="preserve">ness </w:t>
      </w:r>
      <w:r>
        <w:t>lists</w:t>
      </w:r>
      <w:r w:rsidR="00F965C0">
        <w:t>,</w:t>
      </w:r>
      <w:r>
        <w:t xml:space="preserve"> which can</w:t>
      </w:r>
      <w:r w:rsidR="007910A1">
        <w:t xml:space="preserve"> </w:t>
      </w:r>
      <w:r>
        <w:t>be time consuming given the</w:t>
      </w:r>
      <w:r w:rsidR="007910A1">
        <w:t xml:space="preserve"> volume of people they need to interview, and the challenges faced in locations and engaging with some people.  As at 30 June </w:t>
      </w:r>
      <w:r w:rsidR="007737D0">
        <w:t>2021</w:t>
      </w:r>
      <w:r w:rsidR="00673998">
        <w:t xml:space="preserve">, </w:t>
      </w:r>
      <w:r w:rsidR="007910A1">
        <w:t xml:space="preserve">we have engaged with nearly 700 witnesses and completed 300 witness statements and some 680,000 documents obtained. </w:t>
      </w:r>
    </w:p>
    <w:p w14:paraId="4DD2839A" w14:textId="0A6ED99E" w:rsidR="002031E0" w:rsidRPr="00C24ED2" w:rsidRDefault="007910A1" w:rsidP="00746FBE">
      <w:pPr>
        <w:spacing w:before="0" w:after="0"/>
        <w:contextualSpacing/>
      </w:pPr>
      <w:r>
        <w:t xml:space="preserve">  </w:t>
      </w:r>
    </w:p>
    <w:p w14:paraId="549A2A0E" w14:textId="5FE4FECE" w:rsidR="00D64967" w:rsidRPr="005B1E27" w:rsidRDefault="00D64967" w:rsidP="00746FBE">
      <w:pPr>
        <w:spacing w:before="0" w:after="0"/>
        <w:contextualSpacing/>
      </w:pPr>
      <w:r>
        <w:t>Two hearings have taken p</w:t>
      </w:r>
      <w:r w:rsidR="00746FBE">
        <w:t>lace in this quarter, with the R</w:t>
      </w:r>
      <w:r>
        <w:t xml:space="preserve">esidences hearing in May and the Lake Alice case study hearing </w:t>
      </w:r>
      <w:r w:rsidR="00C24ED2">
        <w:t xml:space="preserve">in June. The </w:t>
      </w:r>
      <w:r w:rsidR="00746FBE">
        <w:t>Inquiry has received</w:t>
      </w:r>
      <w:r>
        <w:t xml:space="preserve"> positive feedback </w:t>
      </w:r>
      <w:r w:rsidR="00C24ED2">
        <w:t xml:space="preserve">particularly with respect to the latter </w:t>
      </w:r>
      <w:r>
        <w:t xml:space="preserve">from those that participated, especially from the survivors who attended. Following the </w:t>
      </w:r>
      <w:r w:rsidR="00C24ED2">
        <w:t xml:space="preserve">Lake Alice </w:t>
      </w:r>
      <w:r>
        <w:t xml:space="preserve">hearing the focus for the investigation team has moved to delivering the report with a first draft anticipated to be delivered by the end of 2021. </w:t>
      </w:r>
    </w:p>
    <w:p w14:paraId="7539C0ED" w14:textId="475B5C18" w:rsidR="0078592D" w:rsidRDefault="0078592D" w:rsidP="00746FBE">
      <w:pPr>
        <w:spacing w:before="0" w:after="0"/>
        <w:contextualSpacing/>
      </w:pPr>
    </w:p>
    <w:p w14:paraId="5CFC326A" w14:textId="55B6BF48" w:rsidR="0078592D" w:rsidRDefault="0078592D" w:rsidP="00746FBE">
      <w:pPr>
        <w:spacing w:before="0" w:after="0"/>
        <w:contextualSpacing/>
      </w:pPr>
      <w:r>
        <w:t xml:space="preserve">During June the Redress investigation team undertook significant engagement to gather information and test ideas and themes as they proceed to confirm their recommendations and write the report. </w:t>
      </w:r>
      <w:r w:rsidR="00502457">
        <w:t xml:space="preserve"> A </w:t>
      </w:r>
      <w:proofErr w:type="spellStart"/>
      <w:r w:rsidR="00502457">
        <w:t>Kingitanga</w:t>
      </w:r>
      <w:proofErr w:type="spellEnd"/>
      <w:r w:rsidR="00502457">
        <w:t xml:space="preserve"> sponsored hui took p</w:t>
      </w:r>
      <w:r w:rsidR="00746FBE">
        <w:t>lace on 2-3 June, and a redress</w:t>
      </w:r>
      <w:r w:rsidR="00502457">
        <w:t xml:space="preserve"> round table on 1-2 July. Both events were extremely valuable and have provided the Inquiry with new information and strengthened relationships with key stakeholders. </w:t>
      </w:r>
    </w:p>
    <w:p w14:paraId="36C52FB9" w14:textId="7F5E286C" w:rsidR="005B1E27" w:rsidRPr="005B1E27" w:rsidRDefault="005B1E27" w:rsidP="00746FBE">
      <w:pPr>
        <w:spacing w:before="0" w:after="0"/>
        <w:contextualSpacing/>
        <w:rPr>
          <w:b/>
          <w:u w:val="single"/>
        </w:rPr>
      </w:pPr>
    </w:p>
    <w:p w14:paraId="4909E20D" w14:textId="77777777" w:rsidR="004B7415" w:rsidRDefault="004B7415" w:rsidP="00746FBE">
      <w:pPr>
        <w:spacing w:before="0" w:after="0"/>
        <w:contextualSpacing/>
        <w:rPr>
          <w:u w:val="single"/>
        </w:rPr>
      </w:pPr>
      <w:r w:rsidRPr="6EC120FF">
        <w:rPr>
          <w:u w:val="single"/>
        </w:rPr>
        <w:t>Research and Policy</w:t>
      </w:r>
      <w:r>
        <w:rPr>
          <w:u w:val="single"/>
        </w:rPr>
        <w:br/>
      </w:r>
    </w:p>
    <w:p w14:paraId="1B31DD46" w14:textId="56DA5FCA" w:rsidR="004B7415" w:rsidRDefault="004B7415" w:rsidP="00746FBE">
      <w:pPr>
        <w:spacing w:before="0" w:after="0"/>
      </w:pPr>
      <w:r>
        <w:t>Approved work within the Research and Policy Work programme was successfully completed within the quarter.  This included delivery of the Impacts of Abuse and Neglect in State and Faith-based Care Report; Examination of t</w:t>
      </w:r>
      <w:r w:rsidRPr="550B9A3A">
        <w:rPr>
          <w:rFonts w:eastAsia="Calibri" w:cs="Calibri"/>
        </w:rPr>
        <w:t>he settings and regulations for the historical use of seclusion and restraint in New Zealand and overseas; Examination of the systematic and operational factors contributing to abuse of children and young people at Lake Alice Psychiatric Hospital;</w:t>
      </w:r>
      <w:r>
        <w:t xml:space="preserve"> and the summary of literature relevant to the abuse of Pacific Peoples in state and faith-based care. </w:t>
      </w:r>
      <w:r w:rsidR="00F965C0">
        <w:br/>
      </w:r>
    </w:p>
    <w:p w14:paraId="09F76965" w14:textId="6F1013F4" w:rsidR="005B1E27" w:rsidRDefault="004B7415" w:rsidP="00746FBE">
      <w:pPr>
        <w:spacing w:before="0" w:after="0"/>
      </w:pPr>
      <w:r>
        <w:lastRenderedPageBreak/>
        <w:t>Research and Policy were also key contributors during the quarter to the Redress submission and Redress roundtable events, alongside other work to support Redress context and provide survivor voice insights</w:t>
      </w:r>
    </w:p>
    <w:p w14:paraId="2FD2FB48" w14:textId="77777777" w:rsidR="00746FBE" w:rsidRPr="00C13163" w:rsidRDefault="00746FBE" w:rsidP="00746FBE">
      <w:pPr>
        <w:spacing w:before="0" w:after="0"/>
      </w:pPr>
    </w:p>
    <w:p w14:paraId="6E0F1515" w14:textId="506C6167" w:rsidR="00A50FAC" w:rsidRPr="002B3126" w:rsidRDefault="00A50FAC" w:rsidP="00746FBE">
      <w:pPr>
        <w:spacing w:before="0" w:after="0"/>
        <w:contextualSpacing/>
        <w:rPr>
          <w:highlight w:val="yellow"/>
          <w:u w:val="single"/>
        </w:rPr>
      </w:pPr>
      <w:r w:rsidRPr="6B78CA47">
        <w:rPr>
          <w:u w:val="single"/>
        </w:rPr>
        <w:t>Survivor Accounts</w:t>
      </w:r>
      <w:r>
        <w:br/>
      </w:r>
    </w:p>
    <w:p w14:paraId="53A8B61F" w14:textId="6A0AA886" w:rsidR="00A50FAC" w:rsidRDefault="00A50FAC" w:rsidP="00746FBE">
      <w:pPr>
        <w:spacing w:before="0" w:after="0" w:line="259" w:lineRule="auto"/>
      </w:pPr>
      <w:r>
        <w:t xml:space="preserve">Survivor contact has been steady with a marked increase in telephone calls and correspondence during the Residences (weeks of 3 and 10 May) and the Lake Alice (weeks of 14, 21 and 28 June) hearings.  This is what we would expect to see during a public hearing as the increased media coverage raises the profile of the Commission and survivors and their </w:t>
      </w:r>
      <w:proofErr w:type="spellStart"/>
      <w:r>
        <w:t>whānau</w:t>
      </w:r>
      <w:proofErr w:type="spellEnd"/>
      <w:r>
        <w:t xml:space="preserve"> contact us to discuss their experiences.  The increased profile of the Commission can also be </w:t>
      </w:r>
      <w:r w:rsidR="00C13163">
        <w:t xml:space="preserve">triggering for some survivors. </w:t>
      </w:r>
      <w:r w:rsidR="00C13163">
        <w:br/>
      </w:r>
    </w:p>
    <w:p w14:paraId="5637EB4B" w14:textId="17FF5C29" w:rsidR="00C13163" w:rsidRDefault="007737D0" w:rsidP="00746FBE">
      <w:pPr>
        <w:spacing w:before="0" w:after="0" w:line="259" w:lineRule="auto"/>
      </w:pPr>
      <w:r>
        <w:t>During the quarter, submissions were sought from survivors</w:t>
      </w:r>
      <w:r w:rsidR="006934B5">
        <w:t>, stakeholders and members of the public on what changes could be made to redress processes</w:t>
      </w:r>
      <w:r>
        <w:t xml:space="preserve">. A total of </w:t>
      </w:r>
      <w:r w:rsidR="00D935F7">
        <w:t>112 submissions</w:t>
      </w:r>
      <w:r>
        <w:t xml:space="preserve"> were </w:t>
      </w:r>
      <w:r w:rsidR="006934B5">
        <w:t>received.</w:t>
      </w:r>
      <w:r w:rsidR="006934B5">
        <w:br/>
      </w:r>
    </w:p>
    <w:p w14:paraId="38F58576" w14:textId="2E8D2E20" w:rsidR="00620EAC" w:rsidRDefault="00A50FAC" w:rsidP="00746FBE">
      <w:pPr>
        <w:spacing w:before="0" w:after="0"/>
      </w:pPr>
      <w:r>
        <w:t xml:space="preserve">A total of </w:t>
      </w:r>
      <w:r w:rsidRPr="00D935F7">
        <w:t>122</w:t>
      </w:r>
      <w:r>
        <w:t xml:space="preserve"> face-to-face Private Sessions with survivors were conducted over this quarter, and we received 18 written accounts.  We continue to schedule private sessions based on Commissioner availability whilst managing survivor</w:t>
      </w:r>
      <w:r w:rsidR="00746FBE">
        <w:t>s</w:t>
      </w:r>
      <w:r>
        <w:t xml:space="preserve"> expectation</w:t>
      </w:r>
      <w:r w:rsidR="00746FBE">
        <w:t>s</w:t>
      </w:r>
      <w:r>
        <w:t>.</w:t>
      </w:r>
      <w:r w:rsidR="00C13163">
        <w:br/>
      </w:r>
    </w:p>
    <w:p w14:paraId="2A75AAB9" w14:textId="4BFEC13D" w:rsidR="007737D0" w:rsidRDefault="00A50FAC" w:rsidP="00746FBE">
      <w:pPr>
        <w:spacing w:before="0" w:after="0" w:line="259" w:lineRule="auto"/>
      </w:pPr>
      <w:r w:rsidRPr="00673998">
        <w:t>Last quarter</w:t>
      </w:r>
      <w:r>
        <w:t xml:space="preserve"> we engaged with 105 Australian based survivors to extend an offer to attend a Private Session or provide a written account or a witness sta</w:t>
      </w:r>
      <w:r w:rsidR="00746FBE">
        <w:t>tement.  We have completed ten z</w:t>
      </w:r>
      <w:r>
        <w:t>oom sessions, one witness statement and sent out two written account booklets to this cohort.</w:t>
      </w:r>
    </w:p>
    <w:p w14:paraId="074810F6" w14:textId="77777777" w:rsidR="00746FBE" w:rsidRDefault="00746FBE" w:rsidP="00746FBE">
      <w:pPr>
        <w:spacing w:before="0" w:after="0" w:line="259" w:lineRule="auto"/>
      </w:pPr>
    </w:p>
    <w:p w14:paraId="41328CDB" w14:textId="77777777" w:rsidR="007737D0" w:rsidRDefault="00620EAC" w:rsidP="00746FBE">
      <w:pPr>
        <w:spacing w:before="0" w:after="0" w:line="259" w:lineRule="auto"/>
        <w:rPr>
          <w:u w:val="single"/>
        </w:rPr>
      </w:pPr>
      <w:r w:rsidRPr="00620EAC">
        <w:rPr>
          <w:u w:val="single"/>
        </w:rPr>
        <w:t xml:space="preserve">Wellbeing </w:t>
      </w:r>
    </w:p>
    <w:p w14:paraId="177D4C75" w14:textId="00A34ECB" w:rsidR="00A50FAC" w:rsidRDefault="007737D0" w:rsidP="00746FBE">
      <w:pPr>
        <w:spacing w:before="0" w:after="0" w:line="259" w:lineRule="auto"/>
      </w:pPr>
      <w:r>
        <w:rPr>
          <w:u w:val="single"/>
        </w:rPr>
        <w:br/>
      </w:r>
      <w:r w:rsidR="00A50FAC">
        <w:t xml:space="preserve">We have increased our wellbeing service provision to include three additional providers, </w:t>
      </w:r>
      <w:proofErr w:type="spellStart"/>
      <w:r w:rsidR="00A50FAC">
        <w:t>Mapu</w:t>
      </w:r>
      <w:proofErr w:type="spellEnd"/>
      <w:r w:rsidR="00A50FAC">
        <w:t xml:space="preserve"> Maia, </w:t>
      </w:r>
      <w:proofErr w:type="spellStart"/>
      <w:r w:rsidR="00A50FAC">
        <w:t>Tautoko</w:t>
      </w:r>
      <w:proofErr w:type="spellEnd"/>
      <w:r w:rsidR="00A50FAC">
        <w:t xml:space="preserve"> Mai and </w:t>
      </w:r>
      <w:r w:rsidR="00A50FAC" w:rsidRPr="65CA8B26">
        <w:rPr>
          <w:rFonts w:eastAsia="Calibri" w:cs="Calibri"/>
        </w:rPr>
        <w:t>The Personal Advocacy and Safeguarding Adults Trust (</w:t>
      </w:r>
      <w:r w:rsidR="00A50FAC">
        <w:t>PASAT) to ensure that survivors have a range of wellbeing services available to them across New Zealand.</w:t>
      </w:r>
    </w:p>
    <w:p w14:paraId="1412760D" w14:textId="77777777" w:rsidR="00CE2A2F" w:rsidRPr="007737D0" w:rsidRDefault="00CE2A2F" w:rsidP="00746FBE">
      <w:pPr>
        <w:spacing w:before="0" w:after="0" w:line="259" w:lineRule="auto"/>
      </w:pPr>
    </w:p>
    <w:p w14:paraId="15546983" w14:textId="23477BF6" w:rsidR="00A50FAC" w:rsidRDefault="00A50FAC" w:rsidP="00746FBE">
      <w:pPr>
        <w:spacing w:before="0" w:after="0"/>
        <w:rPr>
          <w:rFonts w:eastAsia="Calibri" w:cs="Calibri"/>
        </w:rPr>
      </w:pPr>
      <w:r w:rsidRPr="550B9A3A">
        <w:rPr>
          <w:rFonts w:asciiTheme="minorHAnsi" w:hAnsiTheme="minorHAnsi" w:cstheme="minorBidi"/>
          <w:u w:val="single"/>
        </w:rPr>
        <w:t xml:space="preserve">Community </w:t>
      </w:r>
      <w:r>
        <w:br/>
      </w:r>
      <w:r>
        <w:br/>
      </w:r>
      <w:r w:rsidRPr="550B9A3A">
        <w:rPr>
          <w:rFonts w:eastAsia="Calibri" w:cs="Calibri"/>
        </w:rPr>
        <w:t xml:space="preserve">Since being provided access to register survivors early this year, the Community Engagement team continues to register survivors. </w:t>
      </w:r>
      <w:r>
        <w:rPr>
          <w:rFonts w:eastAsia="Calibri" w:cs="Calibri"/>
        </w:rPr>
        <w:t xml:space="preserve"> </w:t>
      </w:r>
      <w:r w:rsidRPr="550B9A3A">
        <w:rPr>
          <w:rFonts w:eastAsia="Calibri" w:cs="Calibri"/>
        </w:rPr>
        <w:t>As of May 2021, the team has collectively registered over 60 survivors.</w:t>
      </w:r>
    </w:p>
    <w:p w14:paraId="086B43EE" w14:textId="77777777" w:rsidR="00CE2A2F" w:rsidRDefault="00CE2A2F" w:rsidP="00746FBE">
      <w:pPr>
        <w:spacing w:before="0" w:after="0"/>
        <w:rPr>
          <w:rFonts w:eastAsia="Calibri" w:cs="Calibri"/>
        </w:rPr>
      </w:pPr>
    </w:p>
    <w:p w14:paraId="7451B081" w14:textId="77777777" w:rsidR="00CE2A2F" w:rsidRDefault="00A50FAC" w:rsidP="00746FBE">
      <w:pPr>
        <w:spacing w:before="0" w:after="0"/>
        <w:rPr>
          <w:rFonts w:eastAsia="Calibri" w:cs="Calibri"/>
        </w:rPr>
      </w:pPr>
      <w:r w:rsidRPr="21E36FB3">
        <w:rPr>
          <w:rFonts w:eastAsia="Calibri" w:cs="Calibri"/>
        </w:rPr>
        <w:t xml:space="preserve">Having now completed six engagement sessions specifically tailored for the learning disability, </w:t>
      </w:r>
      <w:proofErr w:type="spellStart"/>
      <w:r w:rsidRPr="21E36FB3">
        <w:rPr>
          <w:rFonts w:eastAsia="Calibri" w:cs="Calibri"/>
        </w:rPr>
        <w:t>neurodiverse</w:t>
      </w:r>
      <w:proofErr w:type="spellEnd"/>
      <w:r w:rsidRPr="21E36FB3">
        <w:rPr>
          <w:rFonts w:eastAsia="Calibri" w:cs="Calibri"/>
        </w:rPr>
        <w:t xml:space="preserve"> and cognitive impaired (LDNDCI) community in Palmerston North, Christchurch and Auckland, the next round of these sessions will continue in Nelson and other cities in the South Island in the new financial year. </w:t>
      </w:r>
    </w:p>
    <w:p w14:paraId="62608621" w14:textId="1619BC18" w:rsidR="00A50FAC" w:rsidRDefault="00A50FAC" w:rsidP="00746FBE">
      <w:pPr>
        <w:spacing w:before="0" w:after="0"/>
        <w:rPr>
          <w:rFonts w:eastAsia="Calibri" w:cs="Calibri"/>
        </w:rPr>
      </w:pPr>
      <w:r>
        <w:rPr>
          <w:rFonts w:eastAsia="Calibri" w:cs="Calibri"/>
        </w:rPr>
        <w:t xml:space="preserve"> </w:t>
      </w:r>
    </w:p>
    <w:p w14:paraId="2C067B07" w14:textId="74DCB745" w:rsidR="00A50FAC" w:rsidRDefault="00A50FAC" w:rsidP="00746FBE">
      <w:pPr>
        <w:spacing w:before="0" w:after="0"/>
        <w:rPr>
          <w:rFonts w:eastAsia="Calibri" w:cs="Calibri"/>
        </w:rPr>
      </w:pPr>
      <w:r w:rsidRPr="21E36FB3">
        <w:rPr>
          <w:rFonts w:eastAsia="Calibri" w:cs="Calibri"/>
        </w:rPr>
        <w:t>In support of the Inquiry’s redress submission process in June, the Community Engagement team fou</w:t>
      </w:r>
      <w:r w:rsidR="00CE2A2F">
        <w:rPr>
          <w:rFonts w:eastAsia="Calibri" w:cs="Calibri"/>
        </w:rPr>
        <w:t>nd ways for the disability and d</w:t>
      </w:r>
      <w:r w:rsidRPr="21E36FB3">
        <w:rPr>
          <w:rFonts w:eastAsia="Calibri" w:cs="Calibri"/>
        </w:rPr>
        <w:t xml:space="preserve">eaf sectors to provide feedback on the possible changes to </w:t>
      </w:r>
      <w:r w:rsidR="00F965C0">
        <w:rPr>
          <w:rFonts w:eastAsia="Calibri" w:cs="Calibri"/>
        </w:rPr>
        <w:t xml:space="preserve">the </w:t>
      </w:r>
      <w:r w:rsidRPr="21E36FB3">
        <w:rPr>
          <w:rFonts w:eastAsia="Calibri" w:cs="Calibri"/>
        </w:rPr>
        <w:t xml:space="preserve">redress scheme. </w:t>
      </w:r>
      <w:r>
        <w:rPr>
          <w:rFonts w:eastAsia="Calibri" w:cs="Calibri"/>
        </w:rPr>
        <w:t xml:space="preserve"> </w:t>
      </w:r>
    </w:p>
    <w:p w14:paraId="36D12FC4" w14:textId="77777777" w:rsidR="00CE2A2F" w:rsidRDefault="00CE2A2F" w:rsidP="00746FBE">
      <w:pPr>
        <w:spacing w:before="0" w:after="0"/>
        <w:rPr>
          <w:rFonts w:eastAsia="Calibri" w:cs="Calibri"/>
        </w:rPr>
      </w:pPr>
    </w:p>
    <w:p w14:paraId="5958E611" w14:textId="7EDAFDDB" w:rsidR="00C13163" w:rsidRDefault="00C13163" w:rsidP="00746FBE">
      <w:pPr>
        <w:spacing w:before="0" w:after="0"/>
        <w:rPr>
          <w:rFonts w:eastAsia="Calibri" w:cs="Calibri"/>
        </w:rPr>
      </w:pPr>
      <w:r>
        <w:rPr>
          <w:rFonts w:eastAsia="Calibri" w:cs="Calibri"/>
        </w:rPr>
        <w:lastRenderedPageBreak/>
        <w:t xml:space="preserve">From 19-22 May 2021 the Community Engagement team were in Dunedin to meet with several Pacific groups and organisations who know Pacific survivors of historical abuse. </w:t>
      </w:r>
    </w:p>
    <w:p w14:paraId="392471B4" w14:textId="4E78AA81" w:rsidR="00A50FAC" w:rsidRDefault="00A50FAC" w:rsidP="00746FBE">
      <w:pPr>
        <w:spacing w:before="0" w:after="0"/>
        <w:rPr>
          <w:rFonts w:eastAsia="Calibri" w:cs="Calibri"/>
        </w:rPr>
      </w:pPr>
      <w:r w:rsidRPr="21E36FB3">
        <w:rPr>
          <w:rFonts w:eastAsia="Calibri" w:cs="Calibri"/>
        </w:rPr>
        <w:t xml:space="preserve">A key focus for community engagement, like many others, in the next quarter will </w:t>
      </w:r>
      <w:r w:rsidR="002B2C05">
        <w:rPr>
          <w:rFonts w:eastAsia="Calibri" w:cs="Calibri"/>
        </w:rPr>
        <w:t xml:space="preserve">be a </w:t>
      </w:r>
      <w:r w:rsidRPr="21E36FB3">
        <w:rPr>
          <w:rFonts w:eastAsia="Calibri" w:cs="Calibri"/>
        </w:rPr>
        <w:t>focus</w:t>
      </w:r>
      <w:r w:rsidR="00C13163">
        <w:rPr>
          <w:rFonts w:eastAsia="Calibri" w:cs="Calibri"/>
        </w:rPr>
        <w:t xml:space="preserve"> on the Inquiry’s reset planning. </w:t>
      </w:r>
      <w:r w:rsidRPr="21E36FB3">
        <w:rPr>
          <w:rFonts w:eastAsia="Calibri" w:cs="Calibri"/>
        </w:rPr>
        <w:t xml:space="preserve"> </w:t>
      </w:r>
    </w:p>
    <w:p w14:paraId="063204C9" w14:textId="77777777" w:rsidR="00CE2A2F" w:rsidRDefault="00CE2A2F" w:rsidP="00746FBE">
      <w:pPr>
        <w:spacing w:before="0" w:after="0"/>
        <w:rPr>
          <w:rFonts w:eastAsia="Calibri" w:cs="Calibri"/>
          <w:sz w:val="22"/>
          <w:szCs w:val="22"/>
        </w:rPr>
      </w:pPr>
    </w:p>
    <w:p w14:paraId="42CA3654" w14:textId="77777777" w:rsidR="007737D0" w:rsidRDefault="00A50FAC" w:rsidP="00746FBE">
      <w:pPr>
        <w:spacing w:before="0" w:after="0"/>
        <w:rPr>
          <w:u w:val="single"/>
        </w:rPr>
      </w:pPr>
      <w:r w:rsidRPr="00A50FAC">
        <w:rPr>
          <w:u w:val="single"/>
        </w:rPr>
        <w:t xml:space="preserve">Treaty Engagement </w:t>
      </w:r>
    </w:p>
    <w:p w14:paraId="2645C524" w14:textId="10825942" w:rsidR="00A50FAC" w:rsidRPr="007737D0" w:rsidRDefault="007737D0" w:rsidP="00746FBE">
      <w:pPr>
        <w:spacing w:before="0" w:after="0"/>
        <w:rPr>
          <w:u w:val="single"/>
        </w:rPr>
      </w:pPr>
      <w:r>
        <w:br/>
      </w:r>
      <w:r w:rsidR="00A50FAC" w:rsidRPr="00F42F9F">
        <w:t>This qua</w:t>
      </w:r>
      <w:r w:rsidR="00CE2A2F">
        <w:t>rter’s highlight is the Treaty E</w:t>
      </w:r>
      <w:r w:rsidR="00A50FAC" w:rsidRPr="00F42F9F">
        <w:t>ngagement directorate’s delivery of the revised Treaty statement, and Treaty principles and sta</w:t>
      </w:r>
      <w:r w:rsidR="00667E89">
        <w:t>ndards following approval from T</w:t>
      </w:r>
      <w:r w:rsidR="00A50FAC" w:rsidRPr="00F42F9F">
        <w:t>e Taumata and</w:t>
      </w:r>
      <w:r w:rsidR="00CE2A2F">
        <w:t xml:space="preserve"> agreement from the C</w:t>
      </w:r>
      <w:r w:rsidR="00A50FAC" w:rsidRPr="00F42F9F">
        <w:t>ommissioner</w:t>
      </w:r>
      <w:r w:rsidR="00CE2A2F">
        <w:t>s. This will guide the C</w:t>
      </w:r>
      <w:r w:rsidR="00A50FAC" w:rsidRPr="00F42F9F">
        <w:t>ommission’s work in meeting the Treaty</w:t>
      </w:r>
      <w:r w:rsidR="00CE2A2F">
        <w:t xml:space="preserve"> requirements of the inquiry’s Terms of R</w:t>
      </w:r>
      <w:r w:rsidR="00A50FAC" w:rsidRPr="00F42F9F">
        <w:t>eference and help inform and guide the writing of reports.</w:t>
      </w:r>
    </w:p>
    <w:p w14:paraId="5DA8C547" w14:textId="77777777" w:rsidR="00A50FAC" w:rsidRPr="00F42F9F" w:rsidRDefault="00A50FAC" w:rsidP="00746FBE">
      <w:pPr>
        <w:pStyle w:val="xmsonormal"/>
        <w:rPr>
          <w:sz w:val="24"/>
          <w:szCs w:val="24"/>
        </w:rPr>
      </w:pPr>
      <w:r w:rsidRPr="00F42F9F">
        <w:rPr>
          <w:sz w:val="24"/>
          <w:szCs w:val="24"/>
        </w:rPr>
        <w:t> </w:t>
      </w:r>
    </w:p>
    <w:p w14:paraId="2EA50E69" w14:textId="65D9FF8A" w:rsidR="00A50FAC" w:rsidRPr="00F42F9F" w:rsidRDefault="00F6588E" w:rsidP="00746FBE">
      <w:pPr>
        <w:pStyle w:val="xmsonormal"/>
        <w:rPr>
          <w:sz w:val="24"/>
          <w:szCs w:val="24"/>
        </w:rPr>
      </w:pPr>
      <w:r>
        <w:rPr>
          <w:sz w:val="24"/>
          <w:szCs w:val="24"/>
        </w:rPr>
        <w:t>En</w:t>
      </w:r>
      <w:r w:rsidR="00A50FAC" w:rsidRPr="00F42F9F">
        <w:rPr>
          <w:sz w:val="24"/>
          <w:szCs w:val="24"/>
        </w:rPr>
        <w:t>gagements have continued with Māori providers, Iwi and the survivor community, which have strengthened extern</w:t>
      </w:r>
      <w:r w:rsidR="00CE2A2F">
        <w:rPr>
          <w:sz w:val="24"/>
          <w:szCs w:val="24"/>
        </w:rPr>
        <w:t>al relationships providing the I</w:t>
      </w:r>
      <w:r w:rsidR="00A50FAC" w:rsidRPr="00F42F9F">
        <w:rPr>
          <w:sz w:val="24"/>
          <w:szCs w:val="24"/>
        </w:rPr>
        <w:t xml:space="preserve">nquiry with valuable insights and </w:t>
      </w:r>
      <w:proofErr w:type="spellStart"/>
      <w:r w:rsidR="00A50FAC" w:rsidRPr="00F42F9F">
        <w:rPr>
          <w:sz w:val="24"/>
          <w:szCs w:val="24"/>
        </w:rPr>
        <w:t>kaupapa</w:t>
      </w:r>
      <w:proofErr w:type="spellEnd"/>
      <w:r w:rsidR="00A50FAC" w:rsidRPr="00F42F9F">
        <w:rPr>
          <w:sz w:val="24"/>
          <w:szCs w:val="24"/>
        </w:rPr>
        <w:t xml:space="preserve"> Māori expertise:</w:t>
      </w:r>
      <w:r w:rsidR="0028471C" w:rsidRPr="00F42F9F">
        <w:rPr>
          <w:sz w:val="24"/>
          <w:szCs w:val="24"/>
        </w:rPr>
        <w:br/>
      </w:r>
    </w:p>
    <w:p w14:paraId="1B456666" w14:textId="30922821" w:rsidR="00A50FAC" w:rsidRPr="00706988" w:rsidRDefault="00706988" w:rsidP="00746FBE">
      <w:pPr>
        <w:pStyle w:val="ListParagraph"/>
        <w:numPr>
          <w:ilvl w:val="0"/>
          <w:numId w:val="36"/>
        </w:numPr>
        <w:spacing w:before="0" w:after="0"/>
        <w:rPr>
          <w:rFonts w:eastAsia="Calibri"/>
        </w:rPr>
      </w:pPr>
      <w:r w:rsidRPr="00706988">
        <w:rPr>
          <w:rFonts w:eastAsia="Calibri"/>
        </w:rPr>
        <w:t xml:space="preserve">Office of the </w:t>
      </w:r>
      <w:proofErr w:type="spellStart"/>
      <w:r w:rsidRPr="00706988">
        <w:rPr>
          <w:rFonts w:eastAsia="Calibri"/>
        </w:rPr>
        <w:t>K</w:t>
      </w:r>
      <w:r w:rsidR="00A50FAC" w:rsidRPr="00706988">
        <w:rPr>
          <w:rFonts w:eastAsia="Calibri"/>
        </w:rPr>
        <w:t>ingitanga</w:t>
      </w:r>
      <w:proofErr w:type="spellEnd"/>
      <w:r w:rsidR="00A50FAC" w:rsidRPr="00706988">
        <w:rPr>
          <w:rFonts w:eastAsia="Calibri"/>
        </w:rPr>
        <w:t xml:space="preserve"> – continued to </w:t>
      </w:r>
      <w:proofErr w:type="gramStart"/>
      <w:r w:rsidR="00A50FAC" w:rsidRPr="00706988">
        <w:rPr>
          <w:rFonts w:eastAsia="Calibri"/>
        </w:rPr>
        <w:t>provide assistance to</w:t>
      </w:r>
      <w:proofErr w:type="gramEnd"/>
      <w:r w:rsidR="00A50FAC" w:rsidRPr="00706988">
        <w:rPr>
          <w:rFonts w:eastAsia="Calibri"/>
        </w:rPr>
        <w:t xml:space="preserve"> host the redress hui at </w:t>
      </w:r>
      <w:proofErr w:type="spellStart"/>
      <w:r w:rsidR="00A50FAC" w:rsidRPr="00706988">
        <w:rPr>
          <w:rFonts w:eastAsia="Calibri"/>
        </w:rPr>
        <w:t>Hopuhopu</w:t>
      </w:r>
      <w:proofErr w:type="spellEnd"/>
      <w:r w:rsidR="00A50FAC" w:rsidRPr="00706988">
        <w:rPr>
          <w:rFonts w:eastAsia="Calibri"/>
        </w:rPr>
        <w:t xml:space="preserve"> </w:t>
      </w:r>
      <w:r w:rsidR="00CE2A2F">
        <w:rPr>
          <w:rFonts w:eastAsia="Calibri"/>
        </w:rPr>
        <w:t>on</w:t>
      </w:r>
      <w:r w:rsidR="00A50FAC" w:rsidRPr="00706988">
        <w:rPr>
          <w:rFonts w:eastAsia="Calibri"/>
        </w:rPr>
        <w:t xml:space="preserve"> </w:t>
      </w:r>
      <w:r w:rsidR="00667E89">
        <w:rPr>
          <w:rFonts w:eastAsia="Calibri"/>
        </w:rPr>
        <w:t xml:space="preserve">1-2 </w:t>
      </w:r>
      <w:r w:rsidR="00A50FAC" w:rsidRPr="00706988">
        <w:rPr>
          <w:rFonts w:eastAsia="Calibri"/>
        </w:rPr>
        <w:t>Ju</w:t>
      </w:r>
      <w:r w:rsidR="00CE2A2F">
        <w:rPr>
          <w:rFonts w:eastAsia="Calibri"/>
        </w:rPr>
        <w:t>ly that br</w:t>
      </w:r>
      <w:r w:rsidR="00F965C0">
        <w:rPr>
          <w:rFonts w:eastAsia="Calibri"/>
        </w:rPr>
        <w:t xml:space="preserve">ings </w:t>
      </w:r>
      <w:r w:rsidR="00A50FAC" w:rsidRPr="00706988">
        <w:rPr>
          <w:rFonts w:eastAsia="Calibri"/>
        </w:rPr>
        <w:t xml:space="preserve">together tikanga and Treaty expertise to inform the redress report. </w:t>
      </w:r>
    </w:p>
    <w:p w14:paraId="50762428" w14:textId="410FE9D2" w:rsidR="00A50FAC" w:rsidRPr="00706988" w:rsidRDefault="00A50FAC" w:rsidP="00746FBE">
      <w:pPr>
        <w:pStyle w:val="ListParagraph"/>
        <w:numPr>
          <w:ilvl w:val="0"/>
          <w:numId w:val="36"/>
        </w:numPr>
        <w:spacing w:before="0" w:after="0"/>
        <w:rPr>
          <w:rFonts w:eastAsia="Calibri"/>
        </w:rPr>
      </w:pPr>
      <w:r w:rsidRPr="00706988">
        <w:rPr>
          <w:rFonts w:eastAsia="Calibri"/>
        </w:rPr>
        <w:t>Te Taumata A</w:t>
      </w:r>
      <w:r w:rsidR="00CE2A2F">
        <w:rPr>
          <w:rFonts w:eastAsia="Calibri"/>
        </w:rPr>
        <w:t>dvisory Committee – the Treaty E</w:t>
      </w:r>
      <w:r w:rsidRPr="00706988">
        <w:rPr>
          <w:rFonts w:eastAsia="Calibri"/>
        </w:rPr>
        <w:t>ngage</w:t>
      </w:r>
      <w:r w:rsidR="00CE2A2F">
        <w:rPr>
          <w:rFonts w:eastAsia="Calibri"/>
        </w:rPr>
        <w:t>ment directorate supported the C</w:t>
      </w:r>
      <w:r w:rsidRPr="00706988">
        <w:rPr>
          <w:rFonts w:eastAsia="Calibri"/>
        </w:rPr>
        <w:t>ommittee in its meetings with Māori invest</w:t>
      </w:r>
      <w:r w:rsidR="00CE2A2F">
        <w:rPr>
          <w:rFonts w:eastAsia="Calibri"/>
        </w:rPr>
        <w:t>igations, legal and Counsel Assist, and C</w:t>
      </w:r>
      <w:r w:rsidRPr="00706988">
        <w:rPr>
          <w:rFonts w:eastAsia="Calibri"/>
        </w:rPr>
        <w:t>om</w:t>
      </w:r>
      <w:r w:rsidR="00CE2A2F">
        <w:rPr>
          <w:rFonts w:eastAsia="Calibri"/>
        </w:rPr>
        <w:t>missioners on 13-14 April. The C</w:t>
      </w:r>
      <w:r w:rsidRPr="00706988">
        <w:rPr>
          <w:rFonts w:eastAsia="Calibri"/>
        </w:rPr>
        <w:t>ommittee’s ro</w:t>
      </w:r>
      <w:r w:rsidR="00CE2A2F">
        <w:rPr>
          <w:rFonts w:eastAsia="Calibri"/>
        </w:rPr>
        <w:t>le is to inform and advise the C</w:t>
      </w:r>
      <w:r w:rsidRPr="00706988">
        <w:rPr>
          <w:rFonts w:eastAsia="Calibri"/>
        </w:rPr>
        <w:t>ommission’s direction from a Treaty perspective.</w:t>
      </w:r>
    </w:p>
    <w:p w14:paraId="5F55E8D9" w14:textId="62261CAE" w:rsidR="00A50FAC" w:rsidRPr="00706988" w:rsidRDefault="00A50FAC" w:rsidP="00746FBE">
      <w:pPr>
        <w:pStyle w:val="ListParagraph"/>
        <w:numPr>
          <w:ilvl w:val="0"/>
          <w:numId w:val="36"/>
        </w:numPr>
        <w:spacing w:before="0" w:after="0"/>
        <w:rPr>
          <w:rFonts w:eastAsia="Calibri"/>
        </w:rPr>
      </w:pPr>
      <w:proofErr w:type="spellStart"/>
      <w:r w:rsidRPr="00706988">
        <w:rPr>
          <w:rFonts w:eastAsia="Calibri"/>
        </w:rPr>
        <w:t>Muaupoko</w:t>
      </w:r>
      <w:proofErr w:type="spellEnd"/>
      <w:r w:rsidRPr="00706988">
        <w:rPr>
          <w:rFonts w:eastAsia="Calibri"/>
        </w:rPr>
        <w:t xml:space="preserve"> Tribal Authority – ongoing engagement relating to </w:t>
      </w:r>
      <w:proofErr w:type="spellStart"/>
      <w:r w:rsidRPr="00706988">
        <w:rPr>
          <w:rFonts w:eastAsia="Calibri"/>
        </w:rPr>
        <w:t>Kohitere</w:t>
      </w:r>
      <w:proofErr w:type="spellEnd"/>
      <w:r w:rsidRPr="00706988">
        <w:rPr>
          <w:rFonts w:eastAsia="Calibri"/>
        </w:rPr>
        <w:t xml:space="preserve"> Boy’s Training Centre, </w:t>
      </w:r>
      <w:proofErr w:type="spellStart"/>
      <w:r w:rsidRPr="00706988">
        <w:rPr>
          <w:rFonts w:eastAsia="Calibri"/>
        </w:rPr>
        <w:t>Hokio</w:t>
      </w:r>
      <w:proofErr w:type="spellEnd"/>
      <w:r w:rsidRPr="00706988">
        <w:rPr>
          <w:rFonts w:eastAsia="Calibri"/>
        </w:rPr>
        <w:t xml:space="preserve"> Beach Training School and Kimberley Psychiatric Hospital, which were </w:t>
      </w:r>
      <w:r w:rsidR="00CE2A2F">
        <w:rPr>
          <w:rFonts w:eastAsia="Calibri"/>
        </w:rPr>
        <w:t xml:space="preserve">all located in their </w:t>
      </w:r>
      <w:proofErr w:type="spellStart"/>
      <w:r w:rsidR="00CE2A2F">
        <w:rPr>
          <w:rFonts w:eastAsia="Calibri"/>
        </w:rPr>
        <w:t>rohe</w:t>
      </w:r>
      <w:proofErr w:type="spellEnd"/>
      <w:r w:rsidR="00CE2A2F">
        <w:rPr>
          <w:rFonts w:eastAsia="Calibri"/>
        </w:rPr>
        <w:t>. The A</w:t>
      </w:r>
      <w:r w:rsidRPr="00706988">
        <w:rPr>
          <w:rFonts w:eastAsia="Calibri"/>
        </w:rPr>
        <w:t xml:space="preserve">uthority hosted a visit to these sites on 27 May that </w:t>
      </w:r>
      <w:r w:rsidR="00CE2A2F">
        <w:rPr>
          <w:rFonts w:eastAsia="Calibri"/>
        </w:rPr>
        <w:t>included members of the Treaty E</w:t>
      </w:r>
      <w:r w:rsidRPr="00706988">
        <w:rPr>
          <w:rFonts w:eastAsia="Calibri"/>
        </w:rPr>
        <w:t>ngagement, legal and invest</w:t>
      </w:r>
      <w:r w:rsidR="00CE2A2F">
        <w:rPr>
          <w:rFonts w:eastAsia="Calibri"/>
        </w:rPr>
        <w:t>igations (R</w:t>
      </w:r>
      <w:r w:rsidRPr="00706988">
        <w:rPr>
          <w:rFonts w:eastAsia="Calibri"/>
        </w:rPr>
        <w:t>esidences) teams.</w:t>
      </w:r>
    </w:p>
    <w:p w14:paraId="7DD2B042" w14:textId="7ACD0F85" w:rsidR="00A50FAC" w:rsidRPr="00706988" w:rsidRDefault="00A50FAC" w:rsidP="00746FBE">
      <w:pPr>
        <w:pStyle w:val="ListParagraph"/>
        <w:numPr>
          <w:ilvl w:val="0"/>
          <w:numId w:val="36"/>
        </w:numPr>
        <w:spacing w:before="0" w:after="0"/>
        <w:rPr>
          <w:rFonts w:eastAsia="Calibri"/>
        </w:rPr>
      </w:pPr>
      <w:r w:rsidRPr="00706988">
        <w:rPr>
          <w:rFonts w:eastAsia="Calibri"/>
        </w:rPr>
        <w:t xml:space="preserve">Redress report – supporting the redress investigation, including helping with the drafting </w:t>
      </w:r>
      <w:r w:rsidR="00667E89">
        <w:rPr>
          <w:rFonts w:eastAsia="Calibri"/>
        </w:rPr>
        <w:t xml:space="preserve">from a </w:t>
      </w:r>
      <w:r w:rsidRPr="00706988">
        <w:rPr>
          <w:rFonts w:eastAsia="Calibri"/>
        </w:rPr>
        <w:t>Māori and Treaty perspective.</w:t>
      </w:r>
    </w:p>
    <w:p w14:paraId="16C0D59B" w14:textId="6F3E6C88" w:rsidR="00A50FAC" w:rsidRPr="00706988" w:rsidRDefault="00A50FAC" w:rsidP="00746FBE">
      <w:pPr>
        <w:pStyle w:val="ListParagraph"/>
        <w:numPr>
          <w:ilvl w:val="0"/>
          <w:numId w:val="36"/>
        </w:numPr>
        <w:spacing w:before="0" w:after="0"/>
        <w:rPr>
          <w:rFonts w:eastAsia="Calibri"/>
        </w:rPr>
      </w:pPr>
      <w:r w:rsidRPr="00706988">
        <w:rPr>
          <w:rFonts w:eastAsia="Calibri"/>
        </w:rPr>
        <w:t>Lake Alice report - supporting the planning for this report.</w:t>
      </w:r>
      <w:r w:rsidR="007737D0">
        <w:rPr>
          <w:rFonts w:eastAsia="Calibri"/>
        </w:rPr>
        <w:br/>
      </w:r>
    </w:p>
    <w:p w14:paraId="290B59F0" w14:textId="4D13791B" w:rsidR="00AF7F8C" w:rsidRPr="00F6588E" w:rsidRDefault="00BE67AB" w:rsidP="00746FBE">
      <w:pPr>
        <w:pStyle w:val="xmsonormal"/>
        <w:rPr>
          <w:sz w:val="24"/>
          <w:szCs w:val="24"/>
        </w:rPr>
      </w:pPr>
      <w:r w:rsidRPr="00CE2A2F">
        <w:rPr>
          <w:rFonts w:asciiTheme="minorHAnsi" w:hAnsiTheme="minorHAnsi" w:cstheme="minorHAnsi"/>
          <w:sz w:val="24"/>
          <w:szCs w:val="24"/>
          <w:u w:val="single"/>
        </w:rPr>
        <w:t>Communications</w:t>
      </w:r>
      <w:r w:rsidR="00415337" w:rsidRPr="00CE2A2F">
        <w:rPr>
          <w:rFonts w:asciiTheme="minorHAnsi" w:hAnsiTheme="minorHAnsi" w:cstheme="minorHAnsi"/>
          <w:sz w:val="24"/>
          <w:szCs w:val="24"/>
          <w:u w:val="single"/>
        </w:rPr>
        <w:t>/Media</w:t>
      </w:r>
      <w:r w:rsidR="00B73AFB" w:rsidRPr="00CE2A2F">
        <w:rPr>
          <w:rFonts w:asciiTheme="minorHAnsi" w:hAnsiTheme="minorHAnsi" w:cstheme="minorHAnsi"/>
          <w:sz w:val="24"/>
          <w:szCs w:val="24"/>
          <w:u w:val="single"/>
        </w:rPr>
        <w:t xml:space="preserve"> </w:t>
      </w:r>
      <w:r w:rsidR="00706988" w:rsidRPr="00CE2A2F">
        <w:rPr>
          <w:rFonts w:asciiTheme="minorHAnsi" w:hAnsiTheme="minorHAnsi" w:cstheme="minorHAnsi"/>
          <w:sz w:val="24"/>
          <w:szCs w:val="24"/>
          <w:u w:val="single"/>
        </w:rPr>
        <w:br/>
      </w:r>
      <w:r w:rsidR="00AF7F8C" w:rsidRPr="00CE2A2F">
        <w:rPr>
          <w:rFonts w:asciiTheme="minorHAnsi" w:hAnsiTheme="minorHAnsi" w:cstheme="minorHAnsi"/>
          <w:sz w:val="24"/>
          <w:szCs w:val="24"/>
        </w:rPr>
        <w:br/>
      </w:r>
      <w:r w:rsidR="00AF7F8C" w:rsidRPr="00AF7F8C">
        <w:rPr>
          <w:sz w:val="24"/>
          <w:szCs w:val="24"/>
        </w:rPr>
        <w:t>The Commission was mentioned in 474 media items between 1 April and 30 June 2021.  These articles reached a cumulative potential audience of 14.4 million (and if paid for in advertising would have cost $4.82M). </w:t>
      </w:r>
      <w:proofErr w:type="gramStart"/>
      <w:r w:rsidR="00AF7F8C" w:rsidRPr="00AF7F8C">
        <w:rPr>
          <w:sz w:val="24"/>
          <w:szCs w:val="24"/>
        </w:rPr>
        <w:t>The majority of</w:t>
      </w:r>
      <w:proofErr w:type="gramEnd"/>
      <w:r w:rsidR="00AF7F8C" w:rsidRPr="00AF7F8C">
        <w:rPr>
          <w:sz w:val="24"/>
          <w:szCs w:val="24"/>
        </w:rPr>
        <w:t xml:space="preserve"> coverage was in relation to the Lake Alice hearing (317 media items). The Residences hearing also falls within this reporting period.  On social media, the Inquiry reached 35,146 people across 38 posts, with 11,915 total engagements (likes, comments, shares and clicks). During this period, we had an increase of 462 page likes and followers.  </w:t>
      </w:r>
      <w:r w:rsidR="00AF7F8C">
        <w:rPr>
          <w:rFonts w:eastAsia="Times New Roman"/>
        </w:rPr>
        <w:br/>
      </w:r>
    </w:p>
    <w:p w14:paraId="5C38BDF4" w14:textId="56503DC0" w:rsidR="006059CE" w:rsidRPr="00B72F9A" w:rsidRDefault="006059CE" w:rsidP="00746FBE">
      <w:pPr>
        <w:keepLines w:val="0"/>
        <w:spacing w:before="0" w:after="0"/>
      </w:pPr>
    </w:p>
    <w:p w14:paraId="029A9DA3" w14:textId="310DEDCB" w:rsidR="00B61F26" w:rsidRDefault="00B61F26" w:rsidP="00746FBE">
      <w:pPr>
        <w:keepLines w:val="0"/>
        <w:spacing w:before="0" w:after="0"/>
        <w:rPr>
          <w:b/>
        </w:rPr>
      </w:pPr>
    </w:p>
    <w:p w14:paraId="4C66973E" w14:textId="53F1DFA7" w:rsidR="00BE67AB" w:rsidRPr="00BE67AB" w:rsidRDefault="00BE67AB" w:rsidP="00BE67AB">
      <w:pPr>
        <w:pStyle w:val="Heading1"/>
      </w:pPr>
      <w:r w:rsidRPr="00BE67AB">
        <w:lastRenderedPageBreak/>
        <w:t xml:space="preserve">Key performance indicators </w:t>
      </w:r>
    </w:p>
    <w:p w14:paraId="4A155B2A" w14:textId="2F6E2054" w:rsidR="00664521" w:rsidRPr="00664521" w:rsidRDefault="00BE67AB" w:rsidP="00664521">
      <w:pPr>
        <w:rPr>
          <w:rFonts w:cs="Arial"/>
          <w:b/>
          <w:bCs/>
          <w:color w:val="1F536A"/>
          <w:sz w:val="36"/>
          <w:szCs w:val="36"/>
        </w:rPr>
      </w:pPr>
      <w:r w:rsidRPr="52C751B9">
        <w:rPr>
          <w:rFonts w:cs="Arial"/>
          <w:b/>
          <w:bCs/>
          <w:color w:val="1F536A"/>
          <w:sz w:val="36"/>
          <w:szCs w:val="36"/>
        </w:rPr>
        <w:t xml:space="preserve">Organisational Delivery </w:t>
      </w:r>
      <w:r w:rsidR="00834B76">
        <w:br/>
      </w:r>
      <w:r w:rsidR="00664521">
        <w:br/>
      </w:r>
      <w:r w:rsidR="00664521" w:rsidRPr="0057734D">
        <w:rPr>
          <w:b/>
          <w:bCs/>
          <w:i/>
          <w:color w:val="1F546B" w:themeColor="text2"/>
          <w:szCs w:val="28"/>
        </w:rPr>
        <w:t>Interim Report</w:t>
      </w:r>
    </w:p>
    <w:p w14:paraId="22656982" w14:textId="43F82158" w:rsidR="00664521" w:rsidRDefault="00664521" w:rsidP="00CE2A2F">
      <w:pPr>
        <w:spacing w:before="0" w:after="0"/>
      </w:pPr>
      <w:r>
        <w:t>The Inquiry is to provide an interim report on its work, in writing, by 28 December 2020. The report will be in two parts – a substantive interim report and an administrative interim report.</w:t>
      </w:r>
    </w:p>
    <w:p w14:paraId="212405B0" w14:textId="77777777" w:rsidR="00CE2A2F" w:rsidRDefault="00CE2A2F" w:rsidP="00CE2A2F">
      <w:pPr>
        <w:spacing w:before="0" w:after="0"/>
      </w:pPr>
    </w:p>
    <w:tbl>
      <w:tblPr>
        <w:tblStyle w:val="DIATabl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655"/>
        <w:gridCol w:w="1276"/>
      </w:tblGrid>
      <w:tr w:rsidR="00664521" w14:paraId="64CBB025" w14:textId="77777777" w:rsidTr="00A172F7">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78D5F65" w14:textId="759C1734" w:rsidR="00664521" w:rsidRPr="001045F5" w:rsidRDefault="00664521"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5915DE2" w14:textId="19DCA921" w:rsidR="00664521" w:rsidRPr="001045F5" w:rsidRDefault="00664521" w:rsidP="00E56462">
            <w:pPr>
              <w:spacing w:before="40" w:after="40" w:line="259" w:lineRule="auto"/>
              <w:jc w:val="center"/>
              <w:rPr>
                <w:color w:val="auto"/>
                <w:highlight w:val="yellow"/>
              </w:rPr>
            </w:pPr>
            <w:r w:rsidRPr="001045F5">
              <w:rPr>
                <w:bCs/>
                <w:color w:val="auto"/>
              </w:rPr>
              <w:t>Status</w:t>
            </w:r>
            <w:r>
              <w:rPr>
                <w:bCs/>
                <w:color w:val="auto"/>
              </w:rPr>
              <w:t xml:space="preserve"> </w:t>
            </w:r>
          </w:p>
        </w:tc>
      </w:tr>
      <w:tr w:rsidR="00664521" w14:paraId="4D17DD20" w14:textId="77777777" w:rsidTr="00A172F7">
        <w:tc>
          <w:tcPr>
            <w:tcW w:w="7655" w:type="dxa"/>
            <w:shd w:val="clear" w:color="auto" w:fill="auto"/>
          </w:tcPr>
          <w:p w14:paraId="75315DD2" w14:textId="5AB35A34" w:rsidR="00664521" w:rsidRPr="001B71EA" w:rsidRDefault="00664521" w:rsidP="00E56462">
            <w:pPr>
              <w:spacing w:before="40" w:after="40" w:line="259" w:lineRule="auto"/>
              <w:rPr>
                <w:bCs/>
              </w:rPr>
            </w:pPr>
            <w:r>
              <w:rPr>
                <w:bCs/>
              </w:rPr>
              <w:t xml:space="preserve">Substantive Interim Report </w:t>
            </w:r>
          </w:p>
        </w:tc>
        <w:tc>
          <w:tcPr>
            <w:tcW w:w="1276" w:type="dxa"/>
            <w:shd w:val="clear" w:color="auto" w:fill="auto"/>
          </w:tcPr>
          <w:p w14:paraId="6999D1F0" w14:textId="4B8ABFE2" w:rsidR="00664521" w:rsidRPr="00664521" w:rsidRDefault="00664521" w:rsidP="00E56462">
            <w:pPr>
              <w:spacing w:before="40" w:after="40"/>
              <w:jc w:val="center"/>
              <w:rPr>
                <w:rFonts w:asciiTheme="minorHAnsi" w:eastAsia="Elephant" w:hAnsiTheme="minorHAnsi" w:cstheme="minorHAnsi"/>
                <w:b/>
                <w:color w:val="00B050"/>
                <w:szCs w:val="22"/>
              </w:rPr>
            </w:pPr>
            <w:r w:rsidRPr="00664521">
              <w:rPr>
                <w:rFonts w:asciiTheme="minorHAnsi" w:eastAsia="Elephant" w:hAnsiTheme="minorHAnsi" w:cstheme="minorHAnsi"/>
                <w:b/>
                <w:szCs w:val="22"/>
              </w:rPr>
              <w:t xml:space="preserve">Completed </w:t>
            </w:r>
          </w:p>
        </w:tc>
      </w:tr>
      <w:tr w:rsidR="00664521" w14:paraId="6F056A51" w14:textId="77777777" w:rsidTr="00A172F7">
        <w:trPr>
          <w:gridAfter w:val="1"/>
          <w:wAfter w:w="1276" w:type="dxa"/>
        </w:trPr>
        <w:tc>
          <w:tcPr>
            <w:tcW w:w="7655" w:type="dxa"/>
          </w:tcPr>
          <w:p w14:paraId="16950C4C" w14:textId="7723B8F5" w:rsidR="00664521" w:rsidRDefault="00664521" w:rsidP="00E56462">
            <w:pPr>
              <w:spacing w:before="40" w:after="40"/>
            </w:pPr>
            <w:r>
              <w:t xml:space="preserve">Comments: </w:t>
            </w:r>
            <w:r w:rsidR="00CE668F">
              <w:t>T</w:t>
            </w:r>
            <w:r>
              <w:t xml:space="preserve">he substantive interim report, </w:t>
            </w:r>
            <w:proofErr w:type="spellStart"/>
            <w:r w:rsidRPr="004A43E8">
              <w:rPr>
                <w:rFonts w:asciiTheme="minorHAnsi" w:hAnsiTheme="minorHAnsi" w:cstheme="minorHAnsi"/>
                <w:color w:val="001C2E"/>
                <w:szCs w:val="22"/>
                <w:shd w:val="clear" w:color="auto" w:fill="FFFFFF"/>
              </w:rPr>
              <w:t>Tāwharautia</w:t>
            </w:r>
            <w:proofErr w:type="spellEnd"/>
            <w:r w:rsidRPr="004A43E8">
              <w:rPr>
                <w:rFonts w:asciiTheme="minorHAnsi" w:hAnsiTheme="minorHAnsi" w:cstheme="minorHAnsi"/>
                <w:color w:val="001C2E"/>
                <w:szCs w:val="22"/>
                <w:shd w:val="clear" w:color="auto" w:fill="FFFFFF"/>
              </w:rPr>
              <w:t xml:space="preserve">: </w:t>
            </w:r>
            <w:proofErr w:type="spellStart"/>
            <w:r w:rsidRPr="004A43E8">
              <w:rPr>
                <w:rFonts w:asciiTheme="minorHAnsi" w:hAnsiTheme="minorHAnsi" w:cstheme="minorHAnsi"/>
                <w:color w:val="001C2E"/>
                <w:szCs w:val="22"/>
                <w:shd w:val="clear" w:color="auto" w:fill="FFFFFF"/>
              </w:rPr>
              <w:t>Pūrongo</w:t>
            </w:r>
            <w:proofErr w:type="spellEnd"/>
            <w:r w:rsidRPr="004A43E8">
              <w:rPr>
                <w:rFonts w:asciiTheme="minorHAnsi" w:hAnsiTheme="minorHAnsi" w:cstheme="minorHAnsi"/>
                <w:color w:val="001C2E"/>
                <w:szCs w:val="22"/>
                <w:shd w:val="clear" w:color="auto" w:fill="FFFFFF"/>
              </w:rPr>
              <w:t xml:space="preserve"> o </w:t>
            </w:r>
            <w:proofErr w:type="spellStart"/>
            <w:r w:rsidRPr="004A43E8">
              <w:rPr>
                <w:rFonts w:asciiTheme="minorHAnsi" w:hAnsiTheme="minorHAnsi" w:cstheme="minorHAnsi"/>
                <w:color w:val="001C2E"/>
                <w:szCs w:val="22"/>
                <w:shd w:val="clear" w:color="auto" w:fill="FFFFFF"/>
              </w:rPr>
              <w:t>te</w:t>
            </w:r>
            <w:proofErr w:type="spellEnd"/>
            <w:r w:rsidRPr="004A43E8">
              <w:rPr>
                <w:rFonts w:asciiTheme="minorHAnsi" w:hAnsiTheme="minorHAnsi" w:cstheme="minorHAnsi"/>
                <w:color w:val="001C2E"/>
                <w:szCs w:val="22"/>
                <w:shd w:val="clear" w:color="auto" w:fill="FFFFFF"/>
              </w:rPr>
              <w:t xml:space="preserve"> </w:t>
            </w:r>
            <w:proofErr w:type="spellStart"/>
            <w:r w:rsidRPr="004A43E8">
              <w:rPr>
                <w:rFonts w:asciiTheme="minorHAnsi" w:hAnsiTheme="minorHAnsi" w:cstheme="minorHAnsi"/>
                <w:color w:val="001C2E"/>
                <w:szCs w:val="22"/>
                <w:shd w:val="clear" w:color="auto" w:fill="FFFFFF"/>
              </w:rPr>
              <w:t>Wā</w:t>
            </w:r>
            <w:proofErr w:type="spellEnd"/>
            <w:r w:rsidRPr="004A43E8">
              <w:rPr>
                <w:rFonts w:ascii="Segoe UI" w:hAnsi="Segoe UI" w:cs="Segoe UI"/>
                <w:color w:val="001C2E"/>
                <w:szCs w:val="22"/>
                <w:shd w:val="clear" w:color="auto" w:fill="FFFFFF"/>
              </w:rPr>
              <w:t>,</w:t>
            </w:r>
            <w:r>
              <w:rPr>
                <w:rFonts w:ascii="Segoe UI" w:hAnsi="Segoe UI" w:cs="Segoe UI"/>
                <w:color w:val="001C2E"/>
                <w:sz w:val="27"/>
                <w:szCs w:val="27"/>
                <w:shd w:val="clear" w:color="auto" w:fill="FFFFFF"/>
              </w:rPr>
              <w:t> </w:t>
            </w:r>
            <w:r>
              <w:t xml:space="preserve">was </w:t>
            </w:r>
            <w:r w:rsidR="00CE668F">
              <w:t xml:space="preserve">presented to the </w:t>
            </w:r>
            <w:r>
              <w:t xml:space="preserve">Governor-General on 4 December 2020, meeting the requirements of clause 35 (1) of the terms of reference.  The </w:t>
            </w:r>
            <w:r w:rsidR="000C2E09">
              <w:t xml:space="preserve">report was </w:t>
            </w:r>
            <w:r>
              <w:t>publicly released on 16 December 2020.</w:t>
            </w:r>
          </w:p>
        </w:tc>
      </w:tr>
    </w:tbl>
    <w:p w14:paraId="3DCC93CC" w14:textId="77777777" w:rsidR="00664521" w:rsidRDefault="00664521" w:rsidP="00E56462">
      <w:pPr>
        <w:spacing w:before="40" w:after="40"/>
      </w:pPr>
    </w:p>
    <w:tbl>
      <w:tblPr>
        <w:tblStyle w:val="DIATabl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655"/>
        <w:gridCol w:w="1276"/>
      </w:tblGrid>
      <w:tr w:rsidR="00664521" w14:paraId="59991960" w14:textId="77777777" w:rsidTr="00A172F7">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C4EC203" w14:textId="3C9685E9" w:rsidR="00664521" w:rsidRPr="001045F5" w:rsidRDefault="00664521"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475E32E" w14:textId="62DB807A" w:rsidR="00664521" w:rsidRPr="001045F5" w:rsidRDefault="00664521" w:rsidP="00E56462">
            <w:pPr>
              <w:spacing w:before="40" w:after="40" w:line="259" w:lineRule="auto"/>
              <w:jc w:val="center"/>
              <w:rPr>
                <w:color w:val="auto"/>
                <w:highlight w:val="yellow"/>
              </w:rPr>
            </w:pPr>
            <w:r w:rsidRPr="001045F5">
              <w:rPr>
                <w:bCs/>
                <w:color w:val="auto"/>
              </w:rPr>
              <w:t xml:space="preserve">Status </w:t>
            </w:r>
            <w:r>
              <w:rPr>
                <w:bCs/>
                <w:color w:val="auto"/>
              </w:rPr>
              <w:t xml:space="preserve"> </w:t>
            </w:r>
          </w:p>
        </w:tc>
      </w:tr>
      <w:tr w:rsidR="00664521" w:rsidRPr="00664521" w14:paraId="5ED86F11" w14:textId="77777777" w:rsidTr="00A172F7">
        <w:tc>
          <w:tcPr>
            <w:tcW w:w="7655" w:type="dxa"/>
            <w:shd w:val="clear" w:color="auto" w:fill="auto"/>
          </w:tcPr>
          <w:p w14:paraId="616F6485" w14:textId="2D98621F" w:rsidR="00664521" w:rsidRPr="001B71EA" w:rsidRDefault="00664521" w:rsidP="00E56462">
            <w:pPr>
              <w:spacing w:before="40" w:after="40" w:line="259" w:lineRule="auto"/>
              <w:rPr>
                <w:bCs/>
              </w:rPr>
            </w:pPr>
            <w:r>
              <w:rPr>
                <w:bCs/>
              </w:rPr>
              <w:t xml:space="preserve">Administrative Report </w:t>
            </w:r>
          </w:p>
        </w:tc>
        <w:tc>
          <w:tcPr>
            <w:tcW w:w="1276" w:type="dxa"/>
            <w:shd w:val="clear" w:color="auto" w:fill="auto"/>
          </w:tcPr>
          <w:p w14:paraId="2F22A31D" w14:textId="3B0E0E3A" w:rsidR="00664521" w:rsidRPr="00664521" w:rsidRDefault="00664521" w:rsidP="00E56462">
            <w:pPr>
              <w:spacing w:before="40" w:after="40"/>
              <w:jc w:val="center"/>
              <w:rPr>
                <w:rFonts w:asciiTheme="minorHAnsi" w:eastAsia="Elephant" w:hAnsiTheme="minorHAnsi" w:cstheme="minorHAnsi"/>
                <w:b/>
                <w:szCs w:val="22"/>
              </w:rPr>
            </w:pPr>
            <w:r w:rsidRPr="00664521">
              <w:rPr>
                <w:rFonts w:asciiTheme="minorHAnsi" w:eastAsia="Elephant" w:hAnsiTheme="minorHAnsi" w:cstheme="minorHAnsi"/>
                <w:b/>
                <w:szCs w:val="22"/>
              </w:rPr>
              <w:t>Completed</w:t>
            </w:r>
          </w:p>
        </w:tc>
      </w:tr>
      <w:tr w:rsidR="00664521" w14:paraId="4F1298F0" w14:textId="77777777" w:rsidTr="00A172F7">
        <w:trPr>
          <w:gridAfter w:val="1"/>
          <w:wAfter w:w="1276" w:type="dxa"/>
        </w:trPr>
        <w:tc>
          <w:tcPr>
            <w:tcW w:w="7655" w:type="dxa"/>
          </w:tcPr>
          <w:p w14:paraId="3029CFB8" w14:textId="49138ADD" w:rsidR="00664521" w:rsidRDefault="00664521" w:rsidP="00E56462">
            <w:pPr>
              <w:spacing w:before="40" w:after="40"/>
            </w:pPr>
            <w:r>
              <w:t xml:space="preserve">Comments: </w:t>
            </w:r>
            <w:r w:rsidR="00CE668F">
              <w:t xml:space="preserve">The Administrative Report was provided to the Minister of Internal Affairs on </w:t>
            </w:r>
            <w:r w:rsidR="009A4CED">
              <w:t>3 December 2020.</w:t>
            </w:r>
          </w:p>
        </w:tc>
      </w:tr>
    </w:tbl>
    <w:p w14:paraId="4EAFD94B" w14:textId="7359A412" w:rsidR="00BE67AB" w:rsidRDefault="00BE67AB" w:rsidP="00BE67AB">
      <w:pPr>
        <w:keepLines w:val="0"/>
        <w:rPr>
          <w:b/>
          <w:bCs/>
          <w:i/>
          <w:color w:val="1F546B" w:themeColor="text2"/>
          <w:szCs w:val="28"/>
        </w:rPr>
      </w:pPr>
      <w:r>
        <w:br w:type="page"/>
      </w:r>
    </w:p>
    <w:p w14:paraId="4B2FF800" w14:textId="0364FA82" w:rsidR="00BE67AB" w:rsidRDefault="00BE67AB" w:rsidP="00BE67AB">
      <w:pPr>
        <w:pStyle w:val="Heading4"/>
      </w:pPr>
      <w:r w:rsidRPr="35243F86">
        <w:lastRenderedPageBreak/>
        <w:t>Investigations</w:t>
      </w:r>
      <w:r>
        <w:t xml:space="preserve"> and Public Hearings </w:t>
      </w:r>
      <w:r w:rsidRPr="35243F86">
        <w:t xml:space="preserve"> </w:t>
      </w:r>
    </w:p>
    <w:p w14:paraId="41D823B8" w14:textId="17F54F8D" w:rsidR="00093B11" w:rsidRDefault="00093B11" w:rsidP="00CE2A2F">
      <w:pPr>
        <w:spacing w:before="0" w:after="0"/>
        <w:rPr>
          <w:rFonts w:eastAsia="Calibri" w:cs="Calibri"/>
        </w:rPr>
      </w:pPr>
      <w:r>
        <w:rPr>
          <w:rFonts w:eastAsia="Calibri" w:cs="Calibri"/>
        </w:rPr>
        <w:t xml:space="preserve">Nine </w:t>
      </w:r>
      <w:r w:rsidRPr="35243F86">
        <w:rPr>
          <w:rFonts w:eastAsia="Calibri" w:cs="Calibri"/>
        </w:rPr>
        <w:t>investigation</w:t>
      </w:r>
      <w:r>
        <w:rPr>
          <w:rFonts w:eastAsia="Calibri" w:cs="Calibri"/>
        </w:rPr>
        <w:t>s were launched in 2020/21.</w:t>
      </w:r>
      <w:r w:rsidRPr="35243F86">
        <w:rPr>
          <w:rFonts w:eastAsia="Calibri" w:cs="Calibri"/>
        </w:rPr>
        <w:t xml:space="preserve"> </w:t>
      </w:r>
      <w:r>
        <w:rPr>
          <w:rFonts w:eastAsia="Calibri" w:cs="Calibri"/>
        </w:rPr>
        <w:t xml:space="preserve"> </w:t>
      </w:r>
      <w:proofErr w:type="gramStart"/>
      <w:r>
        <w:rPr>
          <w:rFonts w:eastAsia="Calibri" w:cs="Calibri"/>
        </w:rPr>
        <w:t>All of</w:t>
      </w:r>
      <w:proofErr w:type="gramEnd"/>
      <w:r>
        <w:rPr>
          <w:rFonts w:eastAsia="Calibri" w:cs="Calibri"/>
        </w:rPr>
        <w:t xml:space="preserve"> these investigations</w:t>
      </w:r>
      <w:r w:rsidRPr="35243F86">
        <w:rPr>
          <w:rFonts w:eastAsia="Calibri" w:cs="Calibri"/>
        </w:rPr>
        <w:t xml:space="preserve"> </w:t>
      </w:r>
      <w:r>
        <w:rPr>
          <w:rFonts w:eastAsia="Calibri" w:cs="Calibri"/>
        </w:rPr>
        <w:t>will</w:t>
      </w:r>
      <w:r w:rsidRPr="35243F86">
        <w:rPr>
          <w:rFonts w:eastAsia="Calibri" w:cs="Calibri"/>
        </w:rPr>
        <w:t xml:space="preserve"> extend </w:t>
      </w:r>
      <w:r>
        <w:rPr>
          <w:rFonts w:eastAsia="Calibri" w:cs="Calibri"/>
        </w:rPr>
        <w:t xml:space="preserve">beyond the </w:t>
      </w:r>
      <w:r w:rsidRPr="35243F86">
        <w:rPr>
          <w:rFonts w:eastAsia="Calibri" w:cs="Calibri"/>
        </w:rPr>
        <w:t xml:space="preserve">2020/21 </w:t>
      </w:r>
      <w:r>
        <w:rPr>
          <w:rFonts w:eastAsia="Calibri" w:cs="Calibri"/>
        </w:rPr>
        <w:t xml:space="preserve">financial </w:t>
      </w:r>
      <w:r w:rsidRPr="35243F86">
        <w:rPr>
          <w:rFonts w:eastAsia="Calibri" w:cs="Calibri"/>
        </w:rPr>
        <w:t>year</w:t>
      </w:r>
      <w:r>
        <w:rPr>
          <w:rFonts w:eastAsia="Calibri" w:cs="Calibri"/>
        </w:rPr>
        <w:t>.  Public hearings on Redress (State and faith-based), State children’s residential care,</w:t>
      </w:r>
      <w:r w:rsidR="00F965C0">
        <w:rPr>
          <w:rFonts w:eastAsia="Calibri" w:cs="Calibri"/>
        </w:rPr>
        <w:t xml:space="preserve"> and</w:t>
      </w:r>
      <w:r>
        <w:rPr>
          <w:rFonts w:eastAsia="Calibri" w:cs="Calibri"/>
        </w:rPr>
        <w:t xml:space="preserve"> Psychiatric care (Lake Alice Child and Adolescent Unit) have been completed with a hearing into Pacific people’s experience of care currently underway (July 2021).  Reporting against each investigation will occur progressively.</w:t>
      </w:r>
    </w:p>
    <w:p w14:paraId="1D75840B" w14:textId="77777777" w:rsidR="00CE2A2F" w:rsidRDefault="00CE2A2F" w:rsidP="00CE2A2F">
      <w:pPr>
        <w:spacing w:before="0" w:after="0"/>
        <w:rPr>
          <w:rFonts w:eastAsia="Calibri" w:cs="Calibri"/>
        </w:rPr>
      </w:pPr>
    </w:p>
    <w:p w14:paraId="3B77B227" w14:textId="405762C0" w:rsidR="008F52B9" w:rsidRDefault="008F52B9" w:rsidP="00CE2A2F">
      <w:pPr>
        <w:spacing w:before="0" w:after="0"/>
        <w:rPr>
          <w:rFonts w:eastAsia="Calibri" w:cs="Calibri"/>
          <w:b/>
        </w:rPr>
      </w:pPr>
      <w:r w:rsidRPr="00FA56AF">
        <w:rPr>
          <w:rFonts w:eastAsia="Calibri" w:cs="Calibri"/>
          <w:b/>
        </w:rPr>
        <w:t xml:space="preserve">NOTE: The recent decision by the Government to amend the Commission’s Terms of Reference and confirm the final reporting date of no later than 30 June 2023, will necessitate a reset of the current investigations work programme. This will include strengthened </w:t>
      </w:r>
      <w:r w:rsidR="00F30089" w:rsidRPr="00FA56AF">
        <w:rPr>
          <w:rFonts w:eastAsia="Calibri" w:cs="Calibri"/>
          <w:b/>
        </w:rPr>
        <w:t>monitoring and reporting arrangements.</w:t>
      </w:r>
      <w:r w:rsidR="00F30089">
        <w:rPr>
          <w:rFonts w:eastAsia="Calibri" w:cs="Calibri"/>
          <w:b/>
        </w:rPr>
        <w:t xml:space="preserve"> </w:t>
      </w:r>
    </w:p>
    <w:p w14:paraId="737447E6" w14:textId="77777777" w:rsidR="00CE2A2F" w:rsidRPr="008F52B9" w:rsidRDefault="00CE2A2F" w:rsidP="00CE2A2F">
      <w:pPr>
        <w:spacing w:before="0" w:after="0"/>
        <w:rPr>
          <w:rFonts w:eastAsia="Calibri" w:cs="Calibri"/>
          <w:b/>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39A7AB29"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E75BBFB" w14:textId="003324C0"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6A054999" w14:textId="77777777" w:rsidTr="00A172F7">
        <w:tc>
          <w:tcPr>
            <w:tcW w:w="8956" w:type="dxa"/>
            <w:shd w:val="clear" w:color="auto" w:fill="auto"/>
          </w:tcPr>
          <w:p w14:paraId="705E0993" w14:textId="7640687A" w:rsidR="006651F3" w:rsidRPr="009A7D32" w:rsidRDefault="00CD4C07" w:rsidP="00E56462">
            <w:pPr>
              <w:spacing w:before="40" w:after="40" w:line="259" w:lineRule="auto"/>
              <w:rPr>
                <w:bCs/>
                <w:strike/>
              </w:rPr>
            </w:pPr>
            <w:r>
              <w:rPr>
                <w:bCs/>
              </w:rPr>
              <w:t>Investigations and Public Hearings overall</w:t>
            </w:r>
          </w:p>
        </w:tc>
      </w:tr>
      <w:tr w:rsidR="006651F3" w14:paraId="11AB9D6E" w14:textId="77777777" w:rsidTr="00A172F7">
        <w:tc>
          <w:tcPr>
            <w:tcW w:w="8956" w:type="dxa"/>
          </w:tcPr>
          <w:p w14:paraId="69D7F058" w14:textId="36BCB519" w:rsidR="00093B11" w:rsidRPr="00567335" w:rsidRDefault="00093B11" w:rsidP="00CE2A2F">
            <w:pPr>
              <w:spacing w:before="0" w:after="0" w:line="259" w:lineRule="auto"/>
              <w:rPr>
                <w:bCs/>
              </w:rPr>
            </w:pPr>
            <w:r>
              <w:rPr>
                <w:bCs/>
              </w:rPr>
              <w:t xml:space="preserve">Comment: </w:t>
            </w:r>
            <w:r w:rsidR="00F965C0">
              <w:rPr>
                <w:bCs/>
              </w:rPr>
              <w:t>T</w:t>
            </w:r>
            <w:r w:rsidRPr="00567335">
              <w:rPr>
                <w:bCs/>
              </w:rPr>
              <w:t xml:space="preserve">he nine launched investigations </w:t>
            </w:r>
            <w:r w:rsidR="00F6588E">
              <w:rPr>
                <w:bCs/>
              </w:rPr>
              <w:t xml:space="preserve">are </w:t>
            </w:r>
            <w:r>
              <w:rPr>
                <w:bCs/>
              </w:rPr>
              <w:t xml:space="preserve">well into </w:t>
            </w:r>
            <w:r w:rsidRPr="00567335">
              <w:rPr>
                <w:bCs/>
              </w:rPr>
              <w:t>obtaining their documentary or witness evidence which will be a continuing piece of work as the Inquiry develops.  The investigations are currently expanding their witness lists which can be time consuming given the volume of people they need to interview, and how hard those people are to locate</w:t>
            </w:r>
            <w:r>
              <w:rPr>
                <w:bCs/>
              </w:rPr>
              <w:t xml:space="preserve"> for some investigations</w:t>
            </w:r>
            <w:r w:rsidRPr="00567335">
              <w:rPr>
                <w:bCs/>
              </w:rPr>
              <w:t>.</w:t>
            </w:r>
          </w:p>
          <w:p w14:paraId="63F38E6B" w14:textId="2A355C55" w:rsidR="006651F3" w:rsidRPr="00F6588E" w:rsidRDefault="00093B11" w:rsidP="00CE2A2F">
            <w:pPr>
              <w:spacing w:before="0" w:after="0" w:line="259" w:lineRule="auto"/>
              <w:rPr>
                <w:bCs/>
              </w:rPr>
            </w:pPr>
            <w:r w:rsidRPr="00567335">
              <w:rPr>
                <w:bCs/>
              </w:rPr>
              <w:t>The Investigations team are working in partnership with the Community Engagement team in developing different methods of finding hard to engage (reach) witnesses to ensure relevant witnesses are identified and approached.  We anticipate a surge in Māori and Pacific witnesses</w:t>
            </w:r>
            <w:r>
              <w:rPr>
                <w:bCs/>
              </w:rPr>
              <w:t xml:space="preserve"> following the Māori and Pacific hearings</w:t>
            </w:r>
            <w:r w:rsidRPr="00567335">
              <w:rPr>
                <w:bCs/>
              </w:rPr>
              <w:t>.</w:t>
            </w:r>
          </w:p>
        </w:tc>
      </w:tr>
    </w:tbl>
    <w:p w14:paraId="7FC3306A" w14:textId="77777777" w:rsidR="00BE67AB" w:rsidRDefault="00BE67AB" w:rsidP="00E56462">
      <w:pPr>
        <w:spacing w:before="40" w:after="40"/>
        <w:rPr>
          <w:rFonts w:eastAsia="Calibri" w:cs="Calibri"/>
        </w:rPr>
      </w:pPr>
    </w:p>
    <w:tbl>
      <w:tblPr>
        <w:tblStyle w:val="DIATable"/>
        <w:tblW w:w="8956" w:type="dxa"/>
        <w:tblInd w:w="-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3C82300A"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E256032" w14:textId="45157ACB"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2E248260" w14:textId="77777777" w:rsidTr="00A172F7">
        <w:tc>
          <w:tcPr>
            <w:tcW w:w="8956" w:type="dxa"/>
            <w:shd w:val="clear" w:color="auto" w:fill="auto"/>
          </w:tcPr>
          <w:p w14:paraId="6979B77D" w14:textId="77777777" w:rsidR="006651F3" w:rsidRPr="001B71EA" w:rsidRDefault="006651F3" w:rsidP="00E56462">
            <w:pPr>
              <w:spacing w:before="40" w:after="40" w:line="259" w:lineRule="auto"/>
              <w:rPr>
                <w:bCs/>
              </w:rPr>
            </w:pPr>
            <w:r w:rsidRPr="00AF14D1">
              <w:rPr>
                <w:rFonts w:eastAsia="Calibri" w:cs="Calibri"/>
                <w:color w:val="000000" w:themeColor="text1"/>
              </w:rPr>
              <w:t>Redress</w:t>
            </w:r>
            <w:r>
              <w:rPr>
                <w:rFonts w:eastAsia="Calibri" w:cs="Calibri"/>
                <w:color w:val="000000" w:themeColor="text1"/>
              </w:rPr>
              <w:t xml:space="preserve"> investigation (State and faith-based)</w:t>
            </w:r>
          </w:p>
        </w:tc>
      </w:tr>
      <w:tr w:rsidR="006651F3" w14:paraId="5B88C528" w14:textId="77777777" w:rsidTr="00A172F7">
        <w:tc>
          <w:tcPr>
            <w:tcW w:w="8956" w:type="dxa"/>
            <w:shd w:val="clear" w:color="auto" w:fill="auto"/>
          </w:tcPr>
          <w:p w14:paraId="2AB6065F" w14:textId="0948807B" w:rsidR="006651F3" w:rsidRPr="00AF14D1" w:rsidRDefault="00093B11" w:rsidP="00CE2A2F">
            <w:pPr>
              <w:spacing w:before="0" w:after="0" w:line="259" w:lineRule="auto"/>
              <w:rPr>
                <w:rFonts w:eastAsia="Calibri" w:cs="Calibri"/>
                <w:color w:val="000000" w:themeColor="text1"/>
              </w:rPr>
            </w:pPr>
            <w:r>
              <w:t>Comment: T</w:t>
            </w:r>
            <w:r>
              <w:rPr>
                <w:bCs/>
              </w:rPr>
              <w:t>he team is well developed in their redress investigation report writing.  This includes significant input from the thematic investigations and the faith-based investigations.</w:t>
            </w:r>
          </w:p>
        </w:tc>
      </w:tr>
    </w:tbl>
    <w:p w14:paraId="290064F4"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0038067F"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F2D9AD1" w14:textId="64149B8E"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p>
        </w:tc>
      </w:tr>
      <w:tr w:rsidR="006651F3" w14:paraId="7387B728" w14:textId="77777777" w:rsidTr="00A172F7">
        <w:trPr>
          <w:trHeight w:val="432"/>
        </w:trPr>
        <w:tc>
          <w:tcPr>
            <w:tcW w:w="8956" w:type="dxa"/>
            <w:shd w:val="clear" w:color="auto" w:fill="auto"/>
          </w:tcPr>
          <w:p w14:paraId="005DEB7D" w14:textId="7F94F8A2" w:rsidR="006651F3" w:rsidRPr="001B71EA" w:rsidRDefault="006651F3" w:rsidP="00E56462">
            <w:pPr>
              <w:spacing w:before="40" w:after="40" w:line="259" w:lineRule="auto"/>
              <w:rPr>
                <w:bCs/>
              </w:rPr>
            </w:pPr>
            <w:r w:rsidRPr="00AF14D1">
              <w:rPr>
                <w:rFonts w:eastAsia="Calibri" w:cs="Calibri"/>
                <w:color w:val="000000" w:themeColor="text1"/>
              </w:rPr>
              <w:t xml:space="preserve">Māori </w:t>
            </w:r>
            <w:r>
              <w:rPr>
                <w:rFonts w:eastAsia="Calibri" w:cs="Calibri"/>
                <w:color w:val="000000" w:themeColor="text1"/>
              </w:rPr>
              <w:t>experience of care</w:t>
            </w:r>
          </w:p>
        </w:tc>
      </w:tr>
      <w:tr w:rsidR="006651F3" w14:paraId="78292455" w14:textId="77777777" w:rsidTr="00A172F7">
        <w:tc>
          <w:tcPr>
            <w:tcW w:w="8956" w:type="dxa"/>
            <w:shd w:val="clear" w:color="auto" w:fill="auto"/>
          </w:tcPr>
          <w:p w14:paraId="388A6684" w14:textId="06ADE775" w:rsidR="006651F3" w:rsidRPr="00CD4C07" w:rsidRDefault="00CE2A2F" w:rsidP="00CE2A2F">
            <w:pPr>
              <w:spacing w:before="0" w:after="0" w:line="259" w:lineRule="auto"/>
              <w:rPr>
                <w:rFonts w:eastAsia="Calibri" w:cs="Calibri"/>
                <w:b/>
                <w:color w:val="000000" w:themeColor="text1"/>
              </w:rPr>
            </w:pPr>
            <w:r>
              <w:rPr>
                <w:bCs/>
              </w:rPr>
              <w:t>Comment: The Mā</w:t>
            </w:r>
            <w:r w:rsidR="00093B11" w:rsidRPr="00F65772">
              <w:rPr>
                <w:bCs/>
              </w:rPr>
              <w:t xml:space="preserve">ori investigation </w:t>
            </w:r>
            <w:r w:rsidR="00093B11">
              <w:rPr>
                <w:bCs/>
              </w:rPr>
              <w:t xml:space="preserve">is </w:t>
            </w:r>
            <w:r w:rsidR="00093B11" w:rsidRPr="00F65772">
              <w:rPr>
                <w:bCs/>
              </w:rPr>
              <w:t xml:space="preserve">now </w:t>
            </w:r>
            <w:r w:rsidR="00093B11">
              <w:rPr>
                <w:bCs/>
              </w:rPr>
              <w:t>preparing for its first public hearing currently anticipated to take place in September 2021.  This hearing is likely to include survivor voices and expert evidence, both of which are currently being obtained and briefed.</w:t>
            </w:r>
          </w:p>
        </w:tc>
      </w:tr>
    </w:tbl>
    <w:p w14:paraId="0764E9FC" w14:textId="77777777" w:rsidR="00BE67AB" w:rsidRDefault="00BE67AB" w:rsidP="00E56462">
      <w:pPr>
        <w:keepLines w:val="0"/>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4B82F23D"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56A7036A" w14:textId="05A08EB3"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548B519C" w14:textId="77777777" w:rsidTr="00A172F7">
        <w:tc>
          <w:tcPr>
            <w:tcW w:w="8956" w:type="dxa"/>
            <w:shd w:val="clear" w:color="auto" w:fill="auto"/>
          </w:tcPr>
          <w:p w14:paraId="7993DB7C" w14:textId="77777777" w:rsidR="006651F3" w:rsidRPr="001B71EA" w:rsidRDefault="006651F3" w:rsidP="00E56462">
            <w:pPr>
              <w:spacing w:before="40" w:after="40" w:line="259" w:lineRule="auto"/>
              <w:rPr>
                <w:bCs/>
              </w:rPr>
            </w:pPr>
            <w:r w:rsidRPr="00AF14D1">
              <w:rPr>
                <w:rFonts w:eastAsia="Calibri" w:cs="Calibri"/>
                <w:color w:val="000000" w:themeColor="text1"/>
              </w:rPr>
              <w:t xml:space="preserve">Pacific </w:t>
            </w:r>
            <w:r>
              <w:rPr>
                <w:rFonts w:eastAsia="Calibri" w:cs="Calibri"/>
                <w:color w:val="000000" w:themeColor="text1"/>
              </w:rPr>
              <w:t>People’s experience of care</w:t>
            </w:r>
          </w:p>
        </w:tc>
      </w:tr>
      <w:tr w:rsidR="006651F3" w14:paraId="7BDC2DD1" w14:textId="77777777" w:rsidTr="00A172F7">
        <w:tc>
          <w:tcPr>
            <w:tcW w:w="8956" w:type="dxa"/>
            <w:shd w:val="clear" w:color="auto" w:fill="auto"/>
          </w:tcPr>
          <w:p w14:paraId="7FC6A1F6" w14:textId="7AF4B71E" w:rsidR="006651F3" w:rsidRPr="00AF14D1" w:rsidRDefault="00093B11" w:rsidP="00CE2A2F">
            <w:pPr>
              <w:spacing w:before="0" w:after="0" w:line="259" w:lineRule="auto"/>
              <w:rPr>
                <w:rFonts w:eastAsia="Calibri" w:cs="Calibri"/>
                <w:color w:val="000000" w:themeColor="text1"/>
              </w:rPr>
            </w:pPr>
            <w:r w:rsidRPr="00F65772">
              <w:rPr>
                <w:bCs/>
              </w:rPr>
              <w:t xml:space="preserve">Comment: The Pacific People’s investigation </w:t>
            </w:r>
            <w:r>
              <w:rPr>
                <w:bCs/>
              </w:rPr>
              <w:t xml:space="preserve">public hearing will be held from 19 July for two weeks.  The hearing will be held at </w:t>
            </w:r>
            <w:proofErr w:type="spellStart"/>
            <w:r>
              <w:rPr>
                <w:bCs/>
              </w:rPr>
              <w:t>Fale</w:t>
            </w:r>
            <w:proofErr w:type="spellEnd"/>
            <w:r>
              <w:rPr>
                <w:bCs/>
              </w:rPr>
              <w:t xml:space="preserve"> o S</w:t>
            </w:r>
            <w:r w:rsidR="00C8124B">
              <w:rPr>
                <w:bCs/>
              </w:rPr>
              <w:t>amoa which is the heart of the P</w:t>
            </w:r>
            <w:r>
              <w:rPr>
                <w:bCs/>
              </w:rPr>
              <w:t xml:space="preserve">acific community in Auckland.  The hearing will include survivor voices / expert evidence, and a </w:t>
            </w:r>
            <w:proofErr w:type="spellStart"/>
            <w:r>
              <w:rPr>
                <w:bCs/>
              </w:rPr>
              <w:t>Talanoa</w:t>
            </w:r>
            <w:proofErr w:type="spellEnd"/>
            <w:r>
              <w:rPr>
                <w:bCs/>
              </w:rPr>
              <w:t xml:space="preserve"> panel of prominent pe</w:t>
            </w:r>
            <w:r w:rsidR="00C8124B">
              <w:rPr>
                <w:bCs/>
              </w:rPr>
              <w:t>ople within the P</w:t>
            </w:r>
            <w:r>
              <w:rPr>
                <w:bCs/>
              </w:rPr>
              <w:t>acific community to discuss potential areas for reform and recommendation.  As of time of writing, the public hearing is under way.</w:t>
            </w:r>
          </w:p>
        </w:tc>
      </w:tr>
    </w:tbl>
    <w:p w14:paraId="48D6AA28" w14:textId="1921F1B6" w:rsidR="00BE67AB" w:rsidRDefault="00BE67AB" w:rsidP="00E56462">
      <w:pPr>
        <w:spacing w:before="40" w:after="40"/>
        <w:rPr>
          <w:rFonts w:eastAsia="Calibri" w:cs="Calibri"/>
        </w:rPr>
      </w:pPr>
    </w:p>
    <w:p w14:paraId="464297AD" w14:textId="77777777" w:rsidR="00C8124B" w:rsidRDefault="00C8124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121AAEF0"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E4A9B6B" w14:textId="7B8F2305"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3106CDB0" w14:textId="77777777" w:rsidTr="00A172F7">
        <w:tc>
          <w:tcPr>
            <w:tcW w:w="8956" w:type="dxa"/>
            <w:shd w:val="clear" w:color="auto" w:fill="auto"/>
          </w:tcPr>
          <w:p w14:paraId="24B5DA4C" w14:textId="77777777" w:rsidR="006651F3" w:rsidRPr="001B71EA" w:rsidRDefault="006651F3" w:rsidP="00E56462">
            <w:pPr>
              <w:spacing w:before="40" w:after="40" w:line="259" w:lineRule="auto"/>
              <w:rPr>
                <w:bCs/>
              </w:rPr>
            </w:pPr>
            <w:r w:rsidRPr="00AF14D1">
              <w:rPr>
                <w:rFonts w:eastAsia="Calibri" w:cs="Calibri"/>
                <w:color w:val="000000" w:themeColor="text1"/>
              </w:rPr>
              <w:t>Disability</w:t>
            </w:r>
            <w:r>
              <w:rPr>
                <w:rFonts w:eastAsia="Calibri" w:cs="Calibri"/>
                <w:color w:val="000000" w:themeColor="text1"/>
              </w:rPr>
              <w:t xml:space="preserve"> investigations (disability care settings and experiences of disabled people in care)</w:t>
            </w:r>
          </w:p>
        </w:tc>
      </w:tr>
      <w:tr w:rsidR="006651F3" w14:paraId="5A8E4BCB" w14:textId="77777777" w:rsidTr="00A172F7">
        <w:tc>
          <w:tcPr>
            <w:tcW w:w="8956" w:type="dxa"/>
            <w:shd w:val="clear" w:color="auto" w:fill="auto"/>
          </w:tcPr>
          <w:p w14:paraId="6D0D9D1F" w14:textId="070B28ED" w:rsidR="006651F3" w:rsidRPr="00AF14D1" w:rsidRDefault="00093B11" w:rsidP="00C8124B">
            <w:pPr>
              <w:spacing w:before="0" w:after="0" w:line="259" w:lineRule="auto"/>
              <w:rPr>
                <w:rFonts w:eastAsia="Calibri" w:cs="Calibri"/>
                <w:color w:val="000000" w:themeColor="text1"/>
              </w:rPr>
            </w:pPr>
            <w:r w:rsidRPr="00F65772">
              <w:rPr>
                <w:bCs/>
              </w:rPr>
              <w:lastRenderedPageBreak/>
              <w:t xml:space="preserve">Comment: </w:t>
            </w:r>
            <w:r w:rsidR="00C8124B">
              <w:rPr>
                <w:bCs/>
              </w:rPr>
              <w:t>The D</w:t>
            </w:r>
            <w:r>
              <w:rPr>
                <w:bCs/>
              </w:rPr>
              <w:t>isability investigation has started its roadshow engagement plan.  This will involve visiting significant centres around New Zealand and will hold meeting</w:t>
            </w:r>
            <w:r w:rsidR="00C8124B">
              <w:rPr>
                <w:bCs/>
              </w:rPr>
              <w:t>s</w:t>
            </w:r>
            <w:r>
              <w:rPr>
                <w:bCs/>
              </w:rPr>
              <w:t xml:space="preserve"> with service providers, NGOs, caregivers and families of survivors, and survivors themselves.  A public hearing is currently being planned for the first half of 2022.</w:t>
            </w:r>
          </w:p>
        </w:tc>
      </w:tr>
    </w:tbl>
    <w:p w14:paraId="1FFE86C3"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7D021869"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2849C6B" w14:textId="3D3F6749"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394C869F" w14:textId="77777777" w:rsidTr="00A172F7">
        <w:tc>
          <w:tcPr>
            <w:tcW w:w="8956" w:type="dxa"/>
            <w:shd w:val="clear" w:color="auto" w:fill="auto"/>
          </w:tcPr>
          <w:p w14:paraId="546F63DD" w14:textId="77777777" w:rsidR="006651F3" w:rsidRPr="001B71EA" w:rsidRDefault="006651F3" w:rsidP="00E56462">
            <w:pPr>
              <w:spacing w:before="40" w:after="40" w:line="259" w:lineRule="auto"/>
              <w:rPr>
                <w:bCs/>
              </w:rPr>
            </w:pPr>
            <w:r w:rsidRPr="00AF14D1">
              <w:rPr>
                <w:rFonts w:eastAsia="Calibri" w:cs="Calibri"/>
                <w:color w:val="000000" w:themeColor="text1"/>
              </w:rPr>
              <w:t>Psychiatric</w:t>
            </w:r>
            <w:r>
              <w:rPr>
                <w:rFonts w:eastAsia="Calibri" w:cs="Calibri"/>
                <w:color w:val="000000" w:themeColor="text1"/>
              </w:rPr>
              <w:t xml:space="preserve"> care investigation</w:t>
            </w:r>
          </w:p>
        </w:tc>
      </w:tr>
      <w:tr w:rsidR="006651F3" w14:paraId="5A0BD5DD" w14:textId="77777777" w:rsidTr="00093B11">
        <w:trPr>
          <w:trHeight w:val="571"/>
        </w:trPr>
        <w:tc>
          <w:tcPr>
            <w:tcW w:w="8956" w:type="dxa"/>
            <w:shd w:val="clear" w:color="auto" w:fill="auto"/>
          </w:tcPr>
          <w:p w14:paraId="47D55562" w14:textId="4FAA0C94" w:rsidR="006651F3" w:rsidRPr="00AF14D1" w:rsidRDefault="00093B11" w:rsidP="00C8124B">
            <w:pPr>
              <w:spacing w:before="0" w:after="0" w:line="259" w:lineRule="auto"/>
              <w:rPr>
                <w:rFonts w:eastAsia="Calibri" w:cs="Calibri"/>
                <w:color w:val="000000" w:themeColor="text1"/>
              </w:rPr>
            </w:pPr>
            <w:r w:rsidRPr="00F65772">
              <w:rPr>
                <w:rFonts w:eastAsia="Calibri" w:cs="Calibri"/>
                <w:color w:val="000000" w:themeColor="text1"/>
              </w:rPr>
              <w:t xml:space="preserve">Comment: </w:t>
            </w:r>
            <w:r w:rsidRPr="00F65772">
              <w:rPr>
                <w:bCs/>
              </w:rPr>
              <w:t xml:space="preserve">The </w:t>
            </w:r>
            <w:r>
              <w:rPr>
                <w:bCs/>
              </w:rPr>
              <w:t>Lak</w:t>
            </w:r>
            <w:r w:rsidR="00C8124B">
              <w:rPr>
                <w:bCs/>
              </w:rPr>
              <w:t>e Alice public hearing has</w:t>
            </w:r>
            <w:r>
              <w:rPr>
                <w:bCs/>
              </w:rPr>
              <w:t xml:space="preserve"> concluded, and the team is focusing on writing up the Inquiry’s first case study report.</w:t>
            </w:r>
          </w:p>
        </w:tc>
      </w:tr>
    </w:tbl>
    <w:p w14:paraId="131854C8"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715DCD76"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77939CD" w14:textId="446A27B9"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11C239CA" w14:textId="77777777" w:rsidTr="00A172F7">
        <w:tc>
          <w:tcPr>
            <w:tcW w:w="8956" w:type="dxa"/>
            <w:shd w:val="clear" w:color="auto" w:fill="auto"/>
          </w:tcPr>
          <w:p w14:paraId="36A02692" w14:textId="5BECEF5A" w:rsidR="006651F3" w:rsidRPr="001B71EA" w:rsidRDefault="006651F3" w:rsidP="00E56462">
            <w:pPr>
              <w:spacing w:before="40" w:after="40" w:line="259" w:lineRule="auto"/>
              <w:rPr>
                <w:bCs/>
              </w:rPr>
            </w:pPr>
            <w:r>
              <w:rPr>
                <w:rFonts w:eastAsia="Calibri" w:cs="Calibri"/>
                <w:color w:val="000000" w:themeColor="text1"/>
              </w:rPr>
              <w:t xml:space="preserve">State children’s residential </w:t>
            </w:r>
            <w:r w:rsidR="00CD4C07">
              <w:rPr>
                <w:rFonts w:eastAsia="Calibri" w:cs="Calibri"/>
                <w:color w:val="000000" w:themeColor="text1"/>
              </w:rPr>
              <w:t>c</w:t>
            </w:r>
            <w:r>
              <w:rPr>
                <w:rFonts w:eastAsia="Calibri" w:cs="Calibri"/>
                <w:color w:val="000000" w:themeColor="text1"/>
              </w:rPr>
              <w:t xml:space="preserve">are investigation </w:t>
            </w:r>
          </w:p>
        </w:tc>
      </w:tr>
      <w:tr w:rsidR="006651F3" w14:paraId="7626D1D1" w14:textId="77777777" w:rsidTr="00A172F7">
        <w:tc>
          <w:tcPr>
            <w:tcW w:w="8956" w:type="dxa"/>
            <w:shd w:val="clear" w:color="auto" w:fill="auto"/>
          </w:tcPr>
          <w:p w14:paraId="632FC037" w14:textId="11449FE9" w:rsidR="006651F3" w:rsidRDefault="00093B11" w:rsidP="00C8124B">
            <w:pPr>
              <w:spacing w:before="0" w:after="0" w:line="259" w:lineRule="auto"/>
              <w:rPr>
                <w:rFonts w:eastAsia="Calibri" w:cs="Calibri"/>
                <w:color w:val="000000" w:themeColor="text1"/>
              </w:rPr>
            </w:pPr>
            <w:r w:rsidRPr="00F65772">
              <w:rPr>
                <w:rFonts w:eastAsia="Calibri" w:cs="Calibri"/>
                <w:color w:val="000000" w:themeColor="text1"/>
                <w:szCs w:val="22"/>
              </w:rPr>
              <w:t xml:space="preserve">Comment: The Children’s Residential Care </w:t>
            </w:r>
            <w:r>
              <w:rPr>
                <w:rFonts w:eastAsia="Calibri" w:cs="Calibri"/>
                <w:color w:val="000000" w:themeColor="text1"/>
                <w:szCs w:val="22"/>
              </w:rPr>
              <w:t>survivor public hearing has concluded.  The team is now refining its investigation plan, which will also be informed by the outcomes of the Inquiry reset.</w:t>
            </w:r>
          </w:p>
        </w:tc>
      </w:tr>
    </w:tbl>
    <w:p w14:paraId="4A4C4293"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752C1276"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AA2E0C9" w14:textId="3782B3A2" w:rsidR="006651F3" w:rsidRPr="001045F5" w:rsidRDefault="006651F3" w:rsidP="00E56462">
            <w:pPr>
              <w:spacing w:before="40" w:after="40"/>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5EDB8C38" w14:textId="77777777" w:rsidTr="00A172F7">
        <w:tc>
          <w:tcPr>
            <w:tcW w:w="8956" w:type="dxa"/>
            <w:shd w:val="clear" w:color="auto" w:fill="auto"/>
          </w:tcPr>
          <w:p w14:paraId="36CD22D1" w14:textId="77777777" w:rsidR="006651F3" w:rsidRPr="001B71EA" w:rsidRDefault="006651F3" w:rsidP="00E56462">
            <w:pPr>
              <w:spacing w:before="40" w:after="40"/>
              <w:rPr>
                <w:bCs/>
              </w:rPr>
            </w:pPr>
            <w:r w:rsidRPr="00AF14D1">
              <w:rPr>
                <w:rFonts w:eastAsia="Calibri" w:cs="Calibri"/>
                <w:color w:val="000000" w:themeColor="text1"/>
              </w:rPr>
              <w:t xml:space="preserve">Catholic </w:t>
            </w:r>
            <w:r>
              <w:rPr>
                <w:rFonts w:eastAsia="Calibri" w:cs="Calibri"/>
                <w:color w:val="000000" w:themeColor="text1"/>
              </w:rPr>
              <w:t xml:space="preserve">Church investigation </w:t>
            </w:r>
          </w:p>
        </w:tc>
      </w:tr>
      <w:tr w:rsidR="006651F3" w14:paraId="16A9E5FA" w14:textId="77777777" w:rsidTr="00A172F7">
        <w:tc>
          <w:tcPr>
            <w:tcW w:w="8956" w:type="dxa"/>
            <w:shd w:val="clear" w:color="auto" w:fill="auto"/>
          </w:tcPr>
          <w:p w14:paraId="279F30AA" w14:textId="49B17BBB" w:rsidR="006651F3" w:rsidRPr="00AF14D1" w:rsidRDefault="00093B11" w:rsidP="00C8124B">
            <w:pPr>
              <w:spacing w:before="0" w:after="0"/>
              <w:rPr>
                <w:rFonts w:eastAsia="Calibri" w:cs="Calibri"/>
                <w:color w:val="000000" w:themeColor="text1"/>
              </w:rPr>
            </w:pPr>
            <w:r w:rsidRPr="00F65772">
              <w:rPr>
                <w:bCs/>
              </w:rPr>
              <w:t xml:space="preserve">Comment: The Catholic Church investigation team </w:t>
            </w:r>
            <w:r>
              <w:rPr>
                <w:bCs/>
              </w:rPr>
              <w:t>has been engaging in significant planning effort to allocate resource</w:t>
            </w:r>
            <w:r w:rsidR="00C8124B">
              <w:rPr>
                <w:bCs/>
              </w:rPr>
              <w:t>s</w:t>
            </w:r>
            <w:r>
              <w:rPr>
                <w:bCs/>
              </w:rPr>
              <w:t xml:space="preserve"> to writing the redress report, the </w:t>
            </w:r>
            <w:proofErr w:type="spellStart"/>
            <w:r>
              <w:rPr>
                <w:bCs/>
              </w:rPr>
              <w:t>Marylands</w:t>
            </w:r>
            <w:proofErr w:type="spellEnd"/>
            <w:r>
              <w:rPr>
                <w:bCs/>
              </w:rPr>
              <w:t xml:space="preserve"> case study public hearing which will take place in November 2021, and consideration of future case study and investigation work.</w:t>
            </w:r>
          </w:p>
        </w:tc>
      </w:tr>
    </w:tbl>
    <w:p w14:paraId="1A3EF998" w14:textId="036A27FA" w:rsidR="00A172F7" w:rsidRDefault="00A172F7" w:rsidP="00E56462">
      <w:pPr>
        <w:keepLines w:val="0"/>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1A5EF52D" w14:textId="77777777" w:rsidTr="00A172F7">
        <w:trPr>
          <w:cnfStyle w:val="100000000000" w:firstRow="1" w:lastRow="0" w:firstColumn="0" w:lastColumn="0" w:oddVBand="0" w:evenVBand="0" w:oddHBand="0" w:evenHBand="0" w:firstRowFirstColumn="0" w:firstRowLastColumn="0" w:lastRowFirstColumn="0" w:lastRowLastColumn="0"/>
          <w:trHeight w:val="259"/>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69DFAC5" w14:textId="2C321602" w:rsidR="006651F3" w:rsidRPr="001045F5" w:rsidRDefault="006651F3" w:rsidP="00E56462">
            <w:pPr>
              <w:spacing w:before="40" w:after="40"/>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3B20433C" w14:textId="77777777" w:rsidTr="00A172F7">
        <w:tc>
          <w:tcPr>
            <w:tcW w:w="8956" w:type="dxa"/>
            <w:shd w:val="clear" w:color="auto" w:fill="auto"/>
          </w:tcPr>
          <w:p w14:paraId="47F07944" w14:textId="77777777" w:rsidR="006651F3" w:rsidRPr="001B71EA" w:rsidRDefault="006651F3" w:rsidP="00E56462">
            <w:pPr>
              <w:spacing w:before="40" w:after="40"/>
              <w:rPr>
                <w:bCs/>
              </w:rPr>
            </w:pPr>
            <w:r w:rsidRPr="00AF14D1">
              <w:rPr>
                <w:rFonts w:eastAsia="Calibri" w:cs="Calibri"/>
                <w:color w:val="000000" w:themeColor="text1"/>
              </w:rPr>
              <w:t xml:space="preserve">Anglican </w:t>
            </w:r>
            <w:r>
              <w:rPr>
                <w:rFonts w:eastAsia="Calibri" w:cs="Calibri"/>
                <w:color w:val="000000" w:themeColor="text1"/>
              </w:rPr>
              <w:t xml:space="preserve">Church investigation </w:t>
            </w:r>
          </w:p>
        </w:tc>
      </w:tr>
      <w:tr w:rsidR="006651F3" w14:paraId="377D8C57" w14:textId="77777777" w:rsidTr="00A172F7">
        <w:tc>
          <w:tcPr>
            <w:tcW w:w="8956" w:type="dxa"/>
            <w:shd w:val="clear" w:color="auto" w:fill="auto"/>
          </w:tcPr>
          <w:p w14:paraId="5FC02B90" w14:textId="12BC5570" w:rsidR="006651F3" w:rsidRPr="00AF14D1" w:rsidRDefault="00093B11" w:rsidP="00C8124B">
            <w:pPr>
              <w:spacing w:before="0" w:after="0"/>
              <w:rPr>
                <w:rFonts w:eastAsia="Calibri" w:cs="Calibri"/>
                <w:color w:val="000000" w:themeColor="text1"/>
              </w:rPr>
            </w:pPr>
            <w:r w:rsidRPr="00F65772">
              <w:rPr>
                <w:rFonts w:eastAsia="Calibri" w:cs="Calibri"/>
                <w:color w:val="000000" w:themeColor="text1"/>
              </w:rPr>
              <w:t xml:space="preserve">Comment: </w:t>
            </w:r>
            <w:r w:rsidRPr="00F65772">
              <w:rPr>
                <w:bCs/>
              </w:rPr>
              <w:t xml:space="preserve">The Anglican </w:t>
            </w:r>
            <w:r>
              <w:rPr>
                <w:bCs/>
              </w:rPr>
              <w:t>i</w:t>
            </w:r>
            <w:r w:rsidRPr="00F65772">
              <w:rPr>
                <w:bCs/>
              </w:rPr>
              <w:t xml:space="preserve">nvestigation </w:t>
            </w:r>
            <w:r>
              <w:rPr>
                <w:bCs/>
              </w:rPr>
              <w:t>team is contributing to the redress report and planning for the next case study, which is yet to be confirmed.</w:t>
            </w:r>
          </w:p>
        </w:tc>
      </w:tr>
    </w:tbl>
    <w:p w14:paraId="3AA413D9" w14:textId="4A42B3AE" w:rsidR="00664521" w:rsidRPr="009C6A4E" w:rsidRDefault="00F965C0" w:rsidP="009C6A4E">
      <w:pPr>
        <w:rPr>
          <w:rFonts w:eastAsia="Calibri" w:cs="Calibri"/>
        </w:rPr>
      </w:pPr>
      <w:r>
        <w:rPr>
          <w:b/>
          <w:bCs/>
          <w:i/>
          <w:color w:val="1F546B" w:themeColor="text2"/>
          <w:szCs w:val="28"/>
        </w:rPr>
        <w:br/>
      </w:r>
      <w:r w:rsidR="00BE67AB" w:rsidRPr="00391B9D">
        <w:rPr>
          <w:b/>
          <w:bCs/>
          <w:i/>
          <w:color w:val="1F546B" w:themeColor="text2"/>
          <w:szCs w:val="28"/>
        </w:rPr>
        <w:t>Research and Policy</w:t>
      </w:r>
      <w:r w:rsidR="00BE67AB">
        <w:rPr>
          <w:b/>
          <w:bCs/>
          <w:i/>
          <w:color w:val="1F546B" w:themeColor="text2"/>
          <w:szCs w:val="28"/>
        </w:rPr>
        <w:br/>
      </w:r>
      <w:r w:rsidR="00BE67AB">
        <w:br/>
        <w:t>This work is focussed on delivering research products to support the investigations and hearings workstreams. Other discrete research and policy work will sit outside the Investigations and Hearings streams. This work will include research and briefings, round tables, Commissioner information sessions, written reports – both internal and commissioned - and other information needs to support Commissioners.</w:t>
      </w:r>
      <w:r w:rsidR="00BE67AB" w:rsidRPr="00A0793F">
        <w:rPr>
          <w:rFonts w:eastAsia="Calibri" w:cs="Calibri"/>
        </w:rPr>
        <w:t xml:space="preserve"> </w:t>
      </w:r>
      <w:r w:rsidR="00BE67AB">
        <w:rPr>
          <w:rFonts w:eastAsia="Calibri" w:cs="Calibri"/>
        </w:rPr>
        <w:t>Separate reporting against each stream of the policy work programme – core and investigative - will occur progressively as they are established.</w:t>
      </w:r>
    </w:p>
    <w:tbl>
      <w:tblPr>
        <w:tblStyle w:val="DIATable"/>
        <w:tblW w:w="9072"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72"/>
      </w:tblGrid>
      <w:tr w:rsidR="008F0B59" w:rsidRPr="00061335" w14:paraId="7B4D291F" w14:textId="77777777" w:rsidTr="00A172F7">
        <w:trPr>
          <w:cnfStyle w:val="100000000000" w:firstRow="1" w:lastRow="0" w:firstColumn="0" w:lastColumn="0" w:oddVBand="0" w:evenVBand="0" w:oddHBand="0" w:evenHBand="0" w:firstRowFirstColumn="0" w:firstRowLastColumn="0" w:lastRowFirstColumn="0" w:lastRowLastColumn="0"/>
        </w:trPr>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439A49A4" w14:textId="1883217F" w:rsidR="008F0B59" w:rsidRPr="00061335" w:rsidRDefault="008F0B59" w:rsidP="000C2E09">
            <w:pPr>
              <w:spacing w:line="259" w:lineRule="auto"/>
              <w:rPr>
                <w:rFonts w:asciiTheme="minorHAnsi" w:hAnsiTheme="minorHAnsi" w:cstheme="minorHAnsi"/>
                <w:color w:val="auto"/>
                <w:szCs w:val="22"/>
                <w:highlight w:val="yellow"/>
              </w:rPr>
            </w:pPr>
            <w:r w:rsidRPr="00061335">
              <w:rPr>
                <w:rFonts w:asciiTheme="minorHAnsi" w:hAnsiTheme="minorHAnsi" w:cstheme="minorHAnsi"/>
                <w:bCs/>
                <w:color w:val="auto"/>
                <w:szCs w:val="22"/>
              </w:rPr>
              <w:t xml:space="preserve">How we will monitor our performance </w:t>
            </w:r>
            <w:r w:rsidRPr="00061335">
              <w:rPr>
                <w:rFonts w:asciiTheme="minorHAnsi" w:hAnsiTheme="minorHAnsi" w:cstheme="minorHAnsi"/>
                <w:bCs/>
                <w:color w:val="auto"/>
                <w:szCs w:val="22"/>
              </w:rPr>
              <w:tab/>
              <w:t xml:space="preserve">                  </w:t>
            </w:r>
            <w:r>
              <w:rPr>
                <w:rFonts w:asciiTheme="minorHAnsi" w:hAnsiTheme="minorHAnsi" w:cstheme="minorHAnsi"/>
                <w:bCs/>
                <w:color w:val="auto"/>
                <w:szCs w:val="22"/>
              </w:rPr>
              <w:t xml:space="preserve">         </w:t>
            </w:r>
            <w:r w:rsidRPr="00061335">
              <w:rPr>
                <w:rFonts w:asciiTheme="minorHAnsi" w:hAnsiTheme="minorHAnsi" w:cstheme="minorHAnsi"/>
                <w:bCs/>
                <w:color w:val="auto"/>
                <w:szCs w:val="22"/>
              </w:rPr>
              <w:t xml:space="preserve"> </w:t>
            </w:r>
          </w:p>
        </w:tc>
      </w:tr>
      <w:tr w:rsidR="008F0B59" w:rsidRPr="00061335" w14:paraId="3B822040" w14:textId="77777777" w:rsidTr="00A172F7">
        <w:tc>
          <w:tcPr>
            <w:tcW w:w="9072" w:type="dxa"/>
          </w:tcPr>
          <w:p w14:paraId="70A315A4" w14:textId="04869A56" w:rsidR="008F0B59" w:rsidRPr="00061335" w:rsidRDefault="00093B11" w:rsidP="00C8124B">
            <w:pPr>
              <w:spacing w:before="0" w:after="0" w:line="259" w:lineRule="auto"/>
              <w:rPr>
                <w:rFonts w:asciiTheme="minorHAnsi" w:hAnsiTheme="minorHAnsi" w:cstheme="minorHAnsi"/>
                <w:szCs w:val="22"/>
              </w:rPr>
            </w:pPr>
            <w:r>
              <w:t>Comment: Progress on delivering the Research and Policy (R&amp;P) work programme outputs is being monitored wee</w:t>
            </w:r>
            <w:r w:rsidR="00C8124B">
              <w:t>kly by the R&amp;P team and by the I</w:t>
            </w:r>
            <w:r>
              <w:t>nquiry</w:t>
            </w:r>
            <w:r w:rsidR="00C8124B">
              <w:t>’s</w:t>
            </w:r>
            <w:r>
              <w:t xml:space="preserve"> Programme Steering Committee.</w:t>
            </w:r>
          </w:p>
        </w:tc>
      </w:tr>
    </w:tbl>
    <w:p w14:paraId="34DB615E" w14:textId="2976E4BE" w:rsidR="00F965C0" w:rsidRDefault="00F965C0" w:rsidP="00093B11">
      <w:pPr>
        <w:keepLines w:val="0"/>
        <w:rPr>
          <w:b/>
          <w:bCs/>
          <w:i/>
          <w:color w:val="1F546B" w:themeColor="text2"/>
          <w:szCs w:val="28"/>
        </w:rPr>
      </w:pPr>
    </w:p>
    <w:p w14:paraId="513221FE" w14:textId="77777777" w:rsidR="00F965C0" w:rsidRDefault="00F965C0">
      <w:pPr>
        <w:keepLines w:val="0"/>
        <w:rPr>
          <w:b/>
          <w:bCs/>
          <w:i/>
          <w:color w:val="1F546B" w:themeColor="text2"/>
          <w:szCs w:val="28"/>
        </w:rPr>
      </w:pPr>
      <w:r>
        <w:rPr>
          <w:b/>
          <w:bCs/>
          <w:i/>
          <w:color w:val="1F546B" w:themeColor="text2"/>
          <w:szCs w:val="28"/>
        </w:rPr>
        <w:br w:type="page"/>
      </w:r>
    </w:p>
    <w:p w14:paraId="79990A1E" w14:textId="284B48BD" w:rsidR="00EE10D5" w:rsidRDefault="00BE67AB" w:rsidP="00093B11">
      <w:pPr>
        <w:keepLines w:val="0"/>
        <w:rPr>
          <w:b/>
          <w:bCs/>
          <w:i/>
          <w:color w:val="1F546B" w:themeColor="text2"/>
          <w:szCs w:val="28"/>
        </w:rPr>
      </w:pPr>
      <w:r w:rsidRPr="00AF14D1">
        <w:rPr>
          <w:b/>
          <w:bCs/>
          <w:i/>
          <w:color w:val="1F546B" w:themeColor="text2"/>
          <w:szCs w:val="28"/>
        </w:rPr>
        <w:lastRenderedPageBreak/>
        <w:t>Survivor Accounts</w:t>
      </w:r>
    </w:p>
    <w:p w14:paraId="33DAB3B9" w14:textId="48CC16B5" w:rsidR="003A6032" w:rsidRDefault="003A6032" w:rsidP="00C8124B">
      <w:pPr>
        <w:spacing w:before="0" w:after="0"/>
      </w:pPr>
      <w:r>
        <w:t>Private se</w:t>
      </w:r>
      <w:r w:rsidRPr="00522E85">
        <w:t xml:space="preserve">ssions with survivors to hear their experiences include written, face-to-face, technology (zoom) and group/marae-based sessions. </w:t>
      </w:r>
      <w:r>
        <w:t xml:space="preserve"> </w:t>
      </w:r>
      <w:r w:rsidRPr="00522E85">
        <w:t>It excludes witness statements collected fr</w:t>
      </w:r>
      <w:r>
        <w:t>om</w:t>
      </w:r>
      <w:r w:rsidR="00C8124B">
        <w:t xml:space="preserve"> investigations.</w:t>
      </w:r>
    </w:p>
    <w:p w14:paraId="50EE725C" w14:textId="77777777" w:rsidR="00C8124B" w:rsidRPr="003A6032" w:rsidRDefault="00C8124B" w:rsidP="00C8124B">
      <w:pPr>
        <w:spacing w:before="0" w:after="0"/>
      </w:pPr>
    </w:p>
    <w:tbl>
      <w:tblPr>
        <w:tblStyle w:val="TableGrid"/>
        <w:tblW w:w="9353" w:type="dxa"/>
        <w:tblLayout w:type="fixed"/>
        <w:tblLook w:val="04A0" w:firstRow="1" w:lastRow="0" w:firstColumn="1" w:lastColumn="0" w:noHBand="0" w:noVBand="1"/>
      </w:tblPr>
      <w:tblGrid>
        <w:gridCol w:w="3111"/>
        <w:gridCol w:w="992"/>
        <w:gridCol w:w="993"/>
        <w:gridCol w:w="1083"/>
        <w:gridCol w:w="1083"/>
        <w:gridCol w:w="953"/>
        <w:gridCol w:w="1138"/>
      </w:tblGrid>
      <w:tr w:rsidR="00B73AFB" w14:paraId="3A23286F" w14:textId="77777777" w:rsidTr="003A6032">
        <w:tc>
          <w:tcPr>
            <w:tcW w:w="3111" w:type="dxa"/>
            <w:tcBorders>
              <w:top w:val="single" w:sz="6" w:space="0" w:color="auto"/>
              <w:left w:val="single" w:sz="6" w:space="0" w:color="auto"/>
            </w:tcBorders>
            <w:shd w:val="clear" w:color="auto" w:fill="92CC63" w:themeFill="accent4" w:themeFillTint="99"/>
          </w:tcPr>
          <w:p w14:paraId="7F2611F7" w14:textId="77777777" w:rsidR="00B73AFB" w:rsidRPr="00061335" w:rsidRDefault="00B73AFB" w:rsidP="009B56F3">
            <w:pPr>
              <w:keepNext/>
              <w:spacing w:before="40" w:after="40" w:line="259" w:lineRule="auto"/>
              <w:rPr>
                <w:bCs/>
                <w:sz w:val="22"/>
                <w:szCs w:val="22"/>
              </w:rPr>
            </w:pPr>
            <w:bookmarkStart w:id="1" w:name="_Hlk55375203"/>
            <w:r>
              <w:rPr>
                <w:b/>
                <w:bCs/>
                <w:sz w:val="22"/>
                <w:szCs w:val="22"/>
              </w:rPr>
              <w:t xml:space="preserve">How </w:t>
            </w:r>
            <w:r w:rsidRPr="00061335">
              <w:rPr>
                <w:b/>
                <w:bCs/>
                <w:sz w:val="22"/>
                <w:szCs w:val="22"/>
              </w:rPr>
              <w:t xml:space="preserve">we will monitor our performance </w:t>
            </w:r>
            <w:r w:rsidRPr="00061335">
              <w:rPr>
                <w:b/>
                <w:bCs/>
                <w:sz w:val="22"/>
                <w:szCs w:val="22"/>
              </w:rPr>
              <w:tab/>
            </w:r>
          </w:p>
        </w:tc>
        <w:tc>
          <w:tcPr>
            <w:tcW w:w="992" w:type="dxa"/>
            <w:tcBorders>
              <w:top w:val="single" w:sz="6" w:space="0" w:color="auto"/>
            </w:tcBorders>
            <w:shd w:val="clear" w:color="auto" w:fill="92CC63" w:themeFill="accent4" w:themeFillTint="99"/>
          </w:tcPr>
          <w:p w14:paraId="728C253E" w14:textId="77777777" w:rsidR="00B73AFB" w:rsidRPr="00061335" w:rsidRDefault="00B73AFB" w:rsidP="009B56F3">
            <w:pPr>
              <w:keepNext/>
              <w:spacing w:before="40" w:after="40" w:line="259" w:lineRule="auto"/>
              <w:jc w:val="center"/>
              <w:rPr>
                <w:bCs/>
                <w:sz w:val="22"/>
                <w:szCs w:val="22"/>
              </w:rPr>
            </w:pPr>
            <w:r w:rsidRPr="00061335">
              <w:rPr>
                <w:b/>
                <w:bCs/>
                <w:sz w:val="22"/>
                <w:szCs w:val="22"/>
              </w:rPr>
              <w:t>Target 20/21</w:t>
            </w:r>
          </w:p>
        </w:tc>
        <w:tc>
          <w:tcPr>
            <w:tcW w:w="993" w:type="dxa"/>
            <w:tcBorders>
              <w:top w:val="single" w:sz="6" w:space="0" w:color="auto"/>
            </w:tcBorders>
            <w:shd w:val="clear" w:color="auto" w:fill="92CC63" w:themeFill="accent4" w:themeFillTint="99"/>
          </w:tcPr>
          <w:p w14:paraId="057DA6C0" w14:textId="77777777" w:rsidR="00B73AFB" w:rsidRDefault="00B73AFB" w:rsidP="009B56F3">
            <w:pPr>
              <w:keepNext/>
              <w:spacing w:before="40" w:after="40" w:line="259" w:lineRule="auto"/>
              <w:jc w:val="center"/>
              <w:rPr>
                <w:b/>
                <w:bCs/>
                <w:sz w:val="22"/>
                <w:szCs w:val="22"/>
              </w:rPr>
            </w:pPr>
            <w:r>
              <w:rPr>
                <w:b/>
                <w:bCs/>
                <w:sz w:val="22"/>
                <w:szCs w:val="22"/>
              </w:rPr>
              <w:t>YTD</w:t>
            </w:r>
            <w:r>
              <w:rPr>
                <w:b/>
                <w:bCs/>
                <w:sz w:val="22"/>
                <w:szCs w:val="22"/>
              </w:rPr>
              <w:br/>
              <w:t>20/21</w:t>
            </w:r>
          </w:p>
        </w:tc>
        <w:tc>
          <w:tcPr>
            <w:tcW w:w="1083" w:type="dxa"/>
            <w:tcBorders>
              <w:top w:val="single" w:sz="6" w:space="0" w:color="auto"/>
            </w:tcBorders>
            <w:shd w:val="clear" w:color="auto" w:fill="92CC63" w:themeFill="accent4" w:themeFillTint="99"/>
          </w:tcPr>
          <w:p w14:paraId="442F4639" w14:textId="6A091EB9" w:rsidR="00B73AFB" w:rsidRDefault="004D2612" w:rsidP="009B56F3">
            <w:pPr>
              <w:keepNext/>
              <w:spacing w:before="40" w:after="40" w:line="259" w:lineRule="auto"/>
              <w:jc w:val="center"/>
              <w:rPr>
                <w:b/>
                <w:bCs/>
                <w:sz w:val="22"/>
                <w:szCs w:val="22"/>
              </w:rPr>
            </w:pPr>
            <w:r>
              <w:rPr>
                <w:b/>
                <w:bCs/>
                <w:sz w:val="22"/>
                <w:szCs w:val="22"/>
              </w:rPr>
              <w:t>Apr-June 2021</w:t>
            </w:r>
          </w:p>
        </w:tc>
        <w:tc>
          <w:tcPr>
            <w:tcW w:w="1083" w:type="dxa"/>
            <w:tcBorders>
              <w:top w:val="single" w:sz="6" w:space="0" w:color="auto"/>
            </w:tcBorders>
            <w:shd w:val="clear" w:color="auto" w:fill="92CC63" w:themeFill="accent4" w:themeFillTint="99"/>
          </w:tcPr>
          <w:p w14:paraId="4072C487" w14:textId="126EEAB8" w:rsidR="00B73AFB" w:rsidRDefault="00B73AFB" w:rsidP="009B56F3">
            <w:pPr>
              <w:keepNext/>
              <w:spacing w:before="40" w:after="40" w:line="259" w:lineRule="auto"/>
              <w:jc w:val="center"/>
              <w:rPr>
                <w:b/>
                <w:bCs/>
                <w:sz w:val="22"/>
                <w:szCs w:val="22"/>
              </w:rPr>
            </w:pPr>
            <w:r>
              <w:rPr>
                <w:b/>
                <w:bCs/>
                <w:sz w:val="22"/>
                <w:szCs w:val="22"/>
              </w:rPr>
              <w:t>Jan-Mar 2021</w:t>
            </w:r>
          </w:p>
        </w:tc>
        <w:tc>
          <w:tcPr>
            <w:tcW w:w="953" w:type="dxa"/>
            <w:tcBorders>
              <w:top w:val="single" w:sz="6" w:space="0" w:color="auto"/>
            </w:tcBorders>
            <w:shd w:val="clear" w:color="auto" w:fill="92CC63" w:themeFill="accent4" w:themeFillTint="99"/>
          </w:tcPr>
          <w:p w14:paraId="0DEA5267" w14:textId="77777777" w:rsidR="00B73AFB" w:rsidRDefault="00B73AFB" w:rsidP="009B56F3">
            <w:pPr>
              <w:keepNext/>
              <w:spacing w:before="40" w:after="40" w:line="259" w:lineRule="auto"/>
              <w:jc w:val="center"/>
              <w:rPr>
                <w:b/>
                <w:bCs/>
                <w:sz w:val="22"/>
                <w:szCs w:val="22"/>
              </w:rPr>
            </w:pPr>
            <w:r>
              <w:rPr>
                <w:b/>
                <w:bCs/>
                <w:sz w:val="22"/>
                <w:szCs w:val="22"/>
              </w:rPr>
              <w:t>Oct-Dec 2020</w:t>
            </w:r>
          </w:p>
        </w:tc>
        <w:tc>
          <w:tcPr>
            <w:tcW w:w="1138" w:type="dxa"/>
            <w:tcBorders>
              <w:top w:val="single" w:sz="6" w:space="0" w:color="auto"/>
              <w:right w:val="single" w:sz="6" w:space="0" w:color="auto"/>
            </w:tcBorders>
            <w:shd w:val="clear" w:color="auto" w:fill="92CC63" w:themeFill="accent4" w:themeFillTint="99"/>
          </w:tcPr>
          <w:p w14:paraId="7167E759" w14:textId="77777777" w:rsidR="00B73AFB" w:rsidRPr="00061335" w:rsidRDefault="00B73AFB" w:rsidP="009B56F3">
            <w:pPr>
              <w:keepNext/>
              <w:spacing w:before="40" w:after="40" w:line="259" w:lineRule="auto"/>
              <w:jc w:val="center"/>
              <w:rPr>
                <w:bCs/>
                <w:sz w:val="22"/>
                <w:szCs w:val="22"/>
              </w:rPr>
            </w:pPr>
            <w:r>
              <w:rPr>
                <w:b/>
                <w:bCs/>
                <w:sz w:val="22"/>
                <w:szCs w:val="22"/>
              </w:rPr>
              <w:t>July-Sept 2020</w:t>
            </w:r>
          </w:p>
        </w:tc>
      </w:tr>
      <w:tr w:rsidR="00B73AFB" w14:paraId="094C3A25" w14:textId="77777777" w:rsidTr="003A6032">
        <w:tc>
          <w:tcPr>
            <w:tcW w:w="3111" w:type="dxa"/>
            <w:tcBorders>
              <w:left w:val="single" w:sz="6" w:space="0" w:color="auto"/>
            </w:tcBorders>
          </w:tcPr>
          <w:p w14:paraId="71D301C3" w14:textId="77777777" w:rsidR="00B73AFB" w:rsidRPr="00061335" w:rsidRDefault="00B73AFB" w:rsidP="00C8124B">
            <w:pPr>
              <w:keepNext/>
              <w:spacing w:before="40" w:after="0" w:line="259" w:lineRule="auto"/>
              <w:rPr>
                <w:bCs/>
                <w:sz w:val="22"/>
                <w:szCs w:val="22"/>
              </w:rPr>
            </w:pPr>
            <w:r w:rsidRPr="00061335">
              <w:rPr>
                <w:bCs/>
                <w:sz w:val="22"/>
                <w:szCs w:val="22"/>
              </w:rPr>
              <w:t>Total Survivor registrations</w:t>
            </w:r>
          </w:p>
        </w:tc>
        <w:tc>
          <w:tcPr>
            <w:tcW w:w="992" w:type="dxa"/>
          </w:tcPr>
          <w:p w14:paraId="46F79511" w14:textId="0FD00FA3" w:rsidR="00B73AFB" w:rsidRPr="001B71EA" w:rsidRDefault="004D2612" w:rsidP="009B56F3">
            <w:pPr>
              <w:keepNext/>
              <w:spacing w:before="40" w:after="40" w:line="259" w:lineRule="auto"/>
              <w:jc w:val="center"/>
              <w:rPr>
                <w:bCs/>
                <w:sz w:val="22"/>
                <w:szCs w:val="22"/>
                <w:highlight w:val="yellow"/>
              </w:rPr>
            </w:pPr>
            <w:r>
              <w:rPr>
                <w:bCs/>
                <w:sz w:val="22"/>
                <w:szCs w:val="22"/>
              </w:rPr>
              <w:t>9</w:t>
            </w:r>
            <w:r w:rsidR="00DD27DD">
              <w:rPr>
                <w:bCs/>
                <w:sz w:val="22"/>
                <w:szCs w:val="22"/>
              </w:rPr>
              <w:t>20</w:t>
            </w:r>
            <w:r w:rsidR="006B0A90">
              <w:rPr>
                <w:bCs/>
                <w:sz w:val="22"/>
                <w:szCs w:val="22"/>
              </w:rPr>
              <w:t xml:space="preserve"> </w:t>
            </w:r>
            <w:r w:rsidR="006B0A90" w:rsidRPr="006B0A90">
              <w:rPr>
                <w:bCs/>
                <w:sz w:val="18"/>
                <w:szCs w:val="18"/>
              </w:rPr>
              <w:t>(revised target)</w:t>
            </w:r>
          </w:p>
        </w:tc>
        <w:tc>
          <w:tcPr>
            <w:tcW w:w="993" w:type="dxa"/>
          </w:tcPr>
          <w:p w14:paraId="231E9780" w14:textId="418D6EB5" w:rsidR="00B73AFB" w:rsidRDefault="003A6032" w:rsidP="009B56F3">
            <w:pPr>
              <w:keepNext/>
              <w:spacing w:before="40" w:after="40" w:line="259" w:lineRule="auto"/>
              <w:jc w:val="center"/>
              <w:rPr>
                <w:bCs/>
                <w:sz w:val="22"/>
                <w:szCs w:val="22"/>
              </w:rPr>
            </w:pPr>
            <w:r>
              <w:rPr>
                <w:bCs/>
                <w:sz w:val="22"/>
                <w:szCs w:val="22"/>
              </w:rPr>
              <w:t>921</w:t>
            </w:r>
          </w:p>
        </w:tc>
        <w:tc>
          <w:tcPr>
            <w:tcW w:w="1083" w:type="dxa"/>
          </w:tcPr>
          <w:p w14:paraId="46D34A51" w14:textId="39594D86" w:rsidR="00B73AFB" w:rsidRDefault="003A6032" w:rsidP="009B56F3">
            <w:pPr>
              <w:keepNext/>
              <w:spacing w:before="40" w:after="40" w:line="259" w:lineRule="auto"/>
              <w:jc w:val="center"/>
              <w:rPr>
                <w:bCs/>
                <w:sz w:val="22"/>
                <w:szCs w:val="22"/>
              </w:rPr>
            </w:pPr>
            <w:r>
              <w:rPr>
                <w:bCs/>
                <w:sz w:val="22"/>
                <w:szCs w:val="22"/>
              </w:rPr>
              <w:t>273</w:t>
            </w:r>
          </w:p>
        </w:tc>
        <w:tc>
          <w:tcPr>
            <w:tcW w:w="1083" w:type="dxa"/>
          </w:tcPr>
          <w:p w14:paraId="67A6D9AC" w14:textId="64A5C715" w:rsidR="00B73AFB" w:rsidRDefault="00B73AFB" w:rsidP="009B56F3">
            <w:pPr>
              <w:keepNext/>
              <w:spacing w:before="40" w:after="40" w:line="259" w:lineRule="auto"/>
              <w:jc w:val="center"/>
              <w:rPr>
                <w:bCs/>
                <w:sz w:val="22"/>
                <w:szCs w:val="22"/>
              </w:rPr>
            </w:pPr>
            <w:r>
              <w:rPr>
                <w:bCs/>
                <w:sz w:val="22"/>
                <w:szCs w:val="22"/>
              </w:rPr>
              <w:t>185</w:t>
            </w:r>
          </w:p>
        </w:tc>
        <w:tc>
          <w:tcPr>
            <w:tcW w:w="953" w:type="dxa"/>
          </w:tcPr>
          <w:p w14:paraId="06F982F7" w14:textId="77777777" w:rsidR="00B73AFB" w:rsidRDefault="00B73AFB" w:rsidP="009B56F3">
            <w:pPr>
              <w:keepNext/>
              <w:spacing w:before="40" w:after="40" w:line="259" w:lineRule="auto"/>
              <w:jc w:val="center"/>
              <w:rPr>
                <w:bCs/>
                <w:sz w:val="22"/>
                <w:szCs w:val="22"/>
              </w:rPr>
            </w:pPr>
            <w:r>
              <w:rPr>
                <w:bCs/>
                <w:sz w:val="22"/>
                <w:szCs w:val="22"/>
              </w:rPr>
              <w:t>263</w:t>
            </w:r>
          </w:p>
        </w:tc>
        <w:tc>
          <w:tcPr>
            <w:tcW w:w="1138" w:type="dxa"/>
            <w:tcBorders>
              <w:right w:val="single" w:sz="6" w:space="0" w:color="auto"/>
            </w:tcBorders>
          </w:tcPr>
          <w:p w14:paraId="2D21EB4A" w14:textId="77777777" w:rsidR="00B73AFB" w:rsidRPr="00B93DB4" w:rsidRDefault="00B73AFB" w:rsidP="009B56F3">
            <w:pPr>
              <w:keepNext/>
              <w:spacing w:before="40" w:after="40" w:line="259" w:lineRule="auto"/>
              <w:jc w:val="center"/>
              <w:rPr>
                <w:bCs/>
                <w:sz w:val="22"/>
                <w:szCs w:val="22"/>
              </w:rPr>
            </w:pPr>
            <w:r>
              <w:rPr>
                <w:bCs/>
                <w:sz w:val="22"/>
                <w:szCs w:val="22"/>
              </w:rPr>
              <w:t>200</w:t>
            </w:r>
          </w:p>
        </w:tc>
      </w:tr>
      <w:tr w:rsidR="003A6032" w14:paraId="741B4129" w14:textId="77777777" w:rsidTr="003A6032">
        <w:tc>
          <w:tcPr>
            <w:tcW w:w="3111" w:type="dxa"/>
            <w:tcBorders>
              <w:left w:val="single" w:sz="6" w:space="0" w:color="auto"/>
            </w:tcBorders>
          </w:tcPr>
          <w:p w14:paraId="4C5F6320" w14:textId="77777777" w:rsidR="003A6032" w:rsidRPr="00061335" w:rsidRDefault="003A6032" w:rsidP="00C8124B">
            <w:pPr>
              <w:keepNext/>
              <w:spacing w:before="40" w:after="0" w:line="259" w:lineRule="auto"/>
              <w:rPr>
                <w:bCs/>
                <w:sz w:val="22"/>
                <w:szCs w:val="22"/>
              </w:rPr>
            </w:pPr>
            <w:r w:rsidRPr="00061335">
              <w:rPr>
                <w:bCs/>
                <w:sz w:val="22"/>
                <w:szCs w:val="22"/>
              </w:rPr>
              <w:t>Private sessions conducted</w:t>
            </w:r>
            <w:r>
              <w:rPr>
                <w:bCs/>
                <w:sz w:val="22"/>
                <w:szCs w:val="22"/>
              </w:rPr>
              <w:t>, including Written Accounts and Zoom sessions</w:t>
            </w:r>
            <w:r w:rsidRPr="00061335">
              <w:rPr>
                <w:bCs/>
                <w:sz w:val="22"/>
                <w:szCs w:val="22"/>
              </w:rPr>
              <w:t xml:space="preserve">                                                       </w:t>
            </w:r>
          </w:p>
        </w:tc>
        <w:tc>
          <w:tcPr>
            <w:tcW w:w="992" w:type="dxa"/>
          </w:tcPr>
          <w:p w14:paraId="026A999F" w14:textId="77777777" w:rsidR="003A6032" w:rsidRPr="001B71EA" w:rsidRDefault="003A6032" w:rsidP="003A6032">
            <w:pPr>
              <w:keepNext/>
              <w:spacing w:before="40" w:after="40" w:line="259" w:lineRule="auto"/>
              <w:jc w:val="center"/>
              <w:rPr>
                <w:bCs/>
                <w:sz w:val="22"/>
                <w:szCs w:val="22"/>
                <w:highlight w:val="yellow"/>
              </w:rPr>
            </w:pPr>
            <w:r w:rsidRPr="002D7B49">
              <w:rPr>
                <w:bCs/>
                <w:sz w:val="22"/>
                <w:szCs w:val="22"/>
              </w:rPr>
              <w:t>320</w:t>
            </w:r>
          </w:p>
        </w:tc>
        <w:tc>
          <w:tcPr>
            <w:tcW w:w="993" w:type="dxa"/>
          </w:tcPr>
          <w:p w14:paraId="4E9417D1" w14:textId="770414FD" w:rsidR="003A6032" w:rsidRDefault="003A6032" w:rsidP="003A6032">
            <w:pPr>
              <w:keepNext/>
              <w:spacing w:before="40" w:after="40" w:line="259" w:lineRule="auto"/>
              <w:jc w:val="center"/>
              <w:rPr>
                <w:bCs/>
                <w:sz w:val="22"/>
                <w:szCs w:val="22"/>
              </w:rPr>
            </w:pPr>
            <w:r w:rsidRPr="5BE505A3">
              <w:rPr>
                <w:sz w:val="22"/>
                <w:szCs w:val="22"/>
              </w:rPr>
              <w:t>46</w:t>
            </w:r>
            <w:r>
              <w:rPr>
                <w:sz w:val="22"/>
                <w:szCs w:val="22"/>
              </w:rPr>
              <w:t>6</w:t>
            </w:r>
          </w:p>
        </w:tc>
        <w:tc>
          <w:tcPr>
            <w:tcW w:w="1083" w:type="dxa"/>
          </w:tcPr>
          <w:p w14:paraId="7AAFC94F" w14:textId="3DFE3923" w:rsidR="003A6032" w:rsidRDefault="0014691F" w:rsidP="003A6032">
            <w:pPr>
              <w:keepNext/>
              <w:spacing w:before="40" w:after="40" w:line="259" w:lineRule="auto"/>
              <w:jc w:val="center"/>
              <w:rPr>
                <w:bCs/>
                <w:sz w:val="22"/>
                <w:szCs w:val="22"/>
              </w:rPr>
            </w:pPr>
            <w:r>
              <w:rPr>
                <w:bCs/>
                <w:sz w:val="22"/>
                <w:szCs w:val="22"/>
              </w:rPr>
              <w:t>140</w:t>
            </w:r>
          </w:p>
        </w:tc>
        <w:tc>
          <w:tcPr>
            <w:tcW w:w="1083" w:type="dxa"/>
          </w:tcPr>
          <w:p w14:paraId="22628977" w14:textId="32D6EF86" w:rsidR="003A6032" w:rsidRDefault="003A6032" w:rsidP="003A6032">
            <w:pPr>
              <w:keepNext/>
              <w:spacing w:before="40" w:after="40" w:line="259" w:lineRule="auto"/>
              <w:jc w:val="center"/>
              <w:rPr>
                <w:bCs/>
                <w:sz w:val="22"/>
                <w:szCs w:val="22"/>
              </w:rPr>
            </w:pPr>
            <w:r>
              <w:rPr>
                <w:bCs/>
                <w:sz w:val="22"/>
                <w:szCs w:val="22"/>
              </w:rPr>
              <w:t>107</w:t>
            </w:r>
          </w:p>
        </w:tc>
        <w:tc>
          <w:tcPr>
            <w:tcW w:w="953" w:type="dxa"/>
          </w:tcPr>
          <w:p w14:paraId="39407139" w14:textId="77777777" w:rsidR="003A6032" w:rsidRDefault="003A6032" w:rsidP="003A6032">
            <w:pPr>
              <w:keepNext/>
              <w:spacing w:before="40" w:after="40" w:line="259" w:lineRule="auto"/>
              <w:jc w:val="center"/>
              <w:rPr>
                <w:bCs/>
                <w:sz w:val="22"/>
                <w:szCs w:val="22"/>
              </w:rPr>
            </w:pPr>
            <w:r>
              <w:rPr>
                <w:bCs/>
                <w:sz w:val="22"/>
                <w:szCs w:val="22"/>
              </w:rPr>
              <w:t>94</w:t>
            </w:r>
          </w:p>
        </w:tc>
        <w:tc>
          <w:tcPr>
            <w:tcW w:w="1138" w:type="dxa"/>
            <w:tcBorders>
              <w:right w:val="single" w:sz="6" w:space="0" w:color="auto"/>
            </w:tcBorders>
          </w:tcPr>
          <w:p w14:paraId="78446D1F" w14:textId="77777777" w:rsidR="003A6032" w:rsidRPr="00061335" w:rsidRDefault="003A6032" w:rsidP="003A6032">
            <w:pPr>
              <w:keepNext/>
              <w:spacing w:before="40" w:after="40" w:line="259" w:lineRule="auto"/>
              <w:jc w:val="center"/>
              <w:rPr>
                <w:bCs/>
                <w:sz w:val="22"/>
                <w:szCs w:val="22"/>
              </w:rPr>
            </w:pPr>
            <w:r>
              <w:rPr>
                <w:bCs/>
                <w:sz w:val="22"/>
                <w:szCs w:val="22"/>
              </w:rPr>
              <w:t>127</w:t>
            </w:r>
          </w:p>
        </w:tc>
      </w:tr>
      <w:tr w:rsidR="00B73AFB" w14:paraId="64A25A75" w14:textId="77777777" w:rsidTr="003A6032">
        <w:tc>
          <w:tcPr>
            <w:tcW w:w="3111" w:type="dxa"/>
            <w:tcBorders>
              <w:left w:val="single" w:sz="6" w:space="0" w:color="auto"/>
            </w:tcBorders>
          </w:tcPr>
          <w:p w14:paraId="549FA852" w14:textId="77777777" w:rsidR="00B73AFB" w:rsidRPr="00061335" w:rsidRDefault="00B73AFB" w:rsidP="00C8124B">
            <w:pPr>
              <w:keepNext/>
              <w:spacing w:before="40" w:after="0" w:line="259" w:lineRule="auto"/>
              <w:rPr>
                <w:bCs/>
                <w:sz w:val="22"/>
                <w:szCs w:val="22"/>
              </w:rPr>
            </w:pPr>
            <w:r>
              <w:rPr>
                <w:bCs/>
                <w:sz w:val="22"/>
                <w:szCs w:val="22"/>
              </w:rPr>
              <w:t>Witness Statements</w:t>
            </w:r>
          </w:p>
        </w:tc>
        <w:tc>
          <w:tcPr>
            <w:tcW w:w="992" w:type="dxa"/>
          </w:tcPr>
          <w:p w14:paraId="0C093752" w14:textId="77777777" w:rsidR="00B73AFB" w:rsidRPr="002D7B49" w:rsidRDefault="00B73AFB" w:rsidP="009B56F3">
            <w:pPr>
              <w:keepNext/>
              <w:spacing w:before="40" w:after="40" w:line="259" w:lineRule="auto"/>
              <w:jc w:val="center"/>
              <w:rPr>
                <w:bCs/>
                <w:sz w:val="22"/>
                <w:szCs w:val="22"/>
              </w:rPr>
            </w:pPr>
            <w:r>
              <w:rPr>
                <w:bCs/>
                <w:sz w:val="22"/>
                <w:szCs w:val="22"/>
              </w:rPr>
              <w:t>-</w:t>
            </w:r>
          </w:p>
        </w:tc>
        <w:tc>
          <w:tcPr>
            <w:tcW w:w="993" w:type="dxa"/>
          </w:tcPr>
          <w:p w14:paraId="589BFCFC" w14:textId="77777777" w:rsidR="00B73AFB" w:rsidRDefault="00B73AFB" w:rsidP="009B56F3">
            <w:pPr>
              <w:keepNext/>
              <w:spacing w:before="40" w:after="40" w:line="259" w:lineRule="auto"/>
              <w:jc w:val="center"/>
              <w:rPr>
                <w:bCs/>
                <w:sz w:val="22"/>
                <w:szCs w:val="22"/>
              </w:rPr>
            </w:pPr>
            <w:r>
              <w:rPr>
                <w:bCs/>
                <w:sz w:val="22"/>
                <w:szCs w:val="22"/>
              </w:rPr>
              <w:t>218</w:t>
            </w:r>
          </w:p>
        </w:tc>
        <w:tc>
          <w:tcPr>
            <w:tcW w:w="1083" w:type="dxa"/>
          </w:tcPr>
          <w:p w14:paraId="3388B414" w14:textId="77777777" w:rsidR="00B73AFB" w:rsidRDefault="00B73AFB" w:rsidP="009B56F3">
            <w:pPr>
              <w:keepNext/>
              <w:spacing w:before="40" w:after="40" w:line="259" w:lineRule="auto"/>
              <w:jc w:val="center"/>
              <w:rPr>
                <w:bCs/>
                <w:sz w:val="22"/>
                <w:szCs w:val="22"/>
              </w:rPr>
            </w:pPr>
          </w:p>
        </w:tc>
        <w:tc>
          <w:tcPr>
            <w:tcW w:w="1083" w:type="dxa"/>
          </w:tcPr>
          <w:p w14:paraId="7345323A" w14:textId="44CACF8A" w:rsidR="00B73AFB" w:rsidRDefault="00B73AFB" w:rsidP="009B56F3">
            <w:pPr>
              <w:keepNext/>
              <w:spacing w:before="40" w:after="40" w:line="259" w:lineRule="auto"/>
              <w:jc w:val="center"/>
              <w:rPr>
                <w:bCs/>
                <w:sz w:val="22"/>
                <w:szCs w:val="22"/>
              </w:rPr>
            </w:pPr>
          </w:p>
        </w:tc>
        <w:tc>
          <w:tcPr>
            <w:tcW w:w="953" w:type="dxa"/>
          </w:tcPr>
          <w:p w14:paraId="40A4BD60" w14:textId="77777777" w:rsidR="00B73AFB" w:rsidRDefault="00B73AFB" w:rsidP="009B56F3">
            <w:pPr>
              <w:keepNext/>
              <w:spacing w:before="40" w:after="40" w:line="259" w:lineRule="auto"/>
              <w:jc w:val="center"/>
              <w:rPr>
                <w:bCs/>
                <w:sz w:val="22"/>
                <w:szCs w:val="22"/>
              </w:rPr>
            </w:pPr>
          </w:p>
        </w:tc>
        <w:tc>
          <w:tcPr>
            <w:tcW w:w="1138" w:type="dxa"/>
            <w:tcBorders>
              <w:right w:val="single" w:sz="6" w:space="0" w:color="auto"/>
            </w:tcBorders>
          </w:tcPr>
          <w:p w14:paraId="0B01F1B5" w14:textId="77777777" w:rsidR="00B73AFB" w:rsidRDefault="00B73AFB" w:rsidP="009B56F3">
            <w:pPr>
              <w:keepNext/>
              <w:spacing w:before="40" w:after="40" w:line="259" w:lineRule="auto"/>
              <w:jc w:val="center"/>
              <w:rPr>
                <w:bCs/>
                <w:sz w:val="22"/>
                <w:szCs w:val="22"/>
              </w:rPr>
            </w:pPr>
          </w:p>
        </w:tc>
      </w:tr>
      <w:tr w:rsidR="00B73AFB" w14:paraId="561EDEFA" w14:textId="77777777" w:rsidTr="00FA56AF">
        <w:trPr>
          <w:trHeight w:val="391"/>
        </w:trPr>
        <w:tc>
          <w:tcPr>
            <w:tcW w:w="3111" w:type="dxa"/>
            <w:tcBorders>
              <w:left w:val="single" w:sz="6" w:space="0" w:color="auto"/>
            </w:tcBorders>
          </w:tcPr>
          <w:p w14:paraId="43753310" w14:textId="77777777" w:rsidR="00B73AFB" w:rsidRDefault="00B73AFB" w:rsidP="00C8124B">
            <w:pPr>
              <w:keepNext/>
              <w:spacing w:before="40" w:after="0" w:line="259" w:lineRule="auto"/>
              <w:rPr>
                <w:bCs/>
                <w:sz w:val="22"/>
                <w:szCs w:val="22"/>
              </w:rPr>
            </w:pPr>
            <w:r w:rsidRPr="00061335">
              <w:rPr>
                <w:bCs/>
                <w:sz w:val="22"/>
                <w:szCs w:val="22"/>
              </w:rPr>
              <w:t xml:space="preserve">Wellbeing sessions </w:t>
            </w:r>
            <w:r>
              <w:rPr>
                <w:bCs/>
                <w:sz w:val="22"/>
                <w:szCs w:val="22"/>
              </w:rPr>
              <w:t xml:space="preserve">provided </w:t>
            </w:r>
          </w:p>
          <w:p w14:paraId="0234D09F" w14:textId="5D265CB2" w:rsidR="00B73AFB" w:rsidRPr="00061335" w:rsidRDefault="00B73AFB" w:rsidP="00C8124B">
            <w:pPr>
              <w:keepNext/>
              <w:spacing w:before="40" w:after="0" w:line="259" w:lineRule="auto"/>
              <w:rPr>
                <w:bCs/>
                <w:sz w:val="22"/>
                <w:szCs w:val="22"/>
              </w:rPr>
            </w:pPr>
          </w:p>
        </w:tc>
        <w:tc>
          <w:tcPr>
            <w:tcW w:w="992" w:type="dxa"/>
          </w:tcPr>
          <w:p w14:paraId="4EF0D18E" w14:textId="77777777" w:rsidR="006B0A90" w:rsidRDefault="00DD27DD" w:rsidP="009B56F3">
            <w:pPr>
              <w:keepNext/>
              <w:spacing w:before="40" w:after="40" w:line="259" w:lineRule="auto"/>
              <w:jc w:val="center"/>
              <w:rPr>
                <w:bCs/>
                <w:sz w:val="22"/>
                <w:szCs w:val="22"/>
              </w:rPr>
            </w:pPr>
            <w:r w:rsidRPr="00DD27DD">
              <w:rPr>
                <w:bCs/>
                <w:sz w:val="22"/>
                <w:szCs w:val="22"/>
              </w:rPr>
              <w:t>2,175</w:t>
            </w:r>
          </w:p>
          <w:p w14:paraId="3F341524" w14:textId="72119CED" w:rsidR="00B73AFB" w:rsidRPr="001B71EA" w:rsidRDefault="006B0A90" w:rsidP="009B56F3">
            <w:pPr>
              <w:keepNext/>
              <w:spacing w:before="40" w:after="40" w:line="259" w:lineRule="auto"/>
              <w:jc w:val="center"/>
              <w:rPr>
                <w:bCs/>
                <w:sz w:val="22"/>
                <w:szCs w:val="22"/>
                <w:highlight w:val="yellow"/>
              </w:rPr>
            </w:pPr>
            <w:r w:rsidRPr="006B0A90">
              <w:rPr>
                <w:bCs/>
                <w:sz w:val="18"/>
                <w:szCs w:val="18"/>
              </w:rPr>
              <w:t>(revised target)</w:t>
            </w:r>
            <w:r>
              <w:rPr>
                <w:bCs/>
                <w:sz w:val="22"/>
                <w:szCs w:val="22"/>
                <w:vertAlign w:val="superscript"/>
              </w:rPr>
              <w:t xml:space="preserve"> </w:t>
            </w:r>
          </w:p>
        </w:tc>
        <w:tc>
          <w:tcPr>
            <w:tcW w:w="993" w:type="dxa"/>
          </w:tcPr>
          <w:p w14:paraId="4C1BD474" w14:textId="18B3AACE" w:rsidR="00B73AFB" w:rsidRDefault="003A6032" w:rsidP="009B56F3">
            <w:pPr>
              <w:pStyle w:val="Tablenormal0"/>
              <w:jc w:val="center"/>
            </w:pPr>
            <w:r>
              <w:t>2,149</w:t>
            </w:r>
          </w:p>
        </w:tc>
        <w:tc>
          <w:tcPr>
            <w:tcW w:w="1083" w:type="dxa"/>
          </w:tcPr>
          <w:p w14:paraId="79B2216F" w14:textId="50E50D5C" w:rsidR="00B73AFB" w:rsidRDefault="003A6032" w:rsidP="009B56F3">
            <w:pPr>
              <w:pStyle w:val="Tablenormal0"/>
              <w:spacing w:before="0" w:after="0"/>
              <w:jc w:val="center"/>
            </w:pPr>
            <w:r>
              <w:t>730</w:t>
            </w:r>
            <w:r w:rsidRPr="00A537AF">
              <w:br/>
            </w:r>
          </w:p>
        </w:tc>
        <w:tc>
          <w:tcPr>
            <w:tcW w:w="1083" w:type="dxa"/>
          </w:tcPr>
          <w:p w14:paraId="6EBA0A69" w14:textId="6E1160B7" w:rsidR="00B73AFB" w:rsidRPr="003A6032" w:rsidRDefault="003A6032" w:rsidP="00FA56AF">
            <w:pPr>
              <w:pStyle w:val="Tablenormal0"/>
              <w:spacing w:before="0" w:after="0"/>
              <w:jc w:val="center"/>
              <w:rPr>
                <w:strike/>
              </w:rPr>
            </w:pPr>
            <w:r w:rsidRPr="003A6032">
              <w:t>503</w:t>
            </w:r>
            <w:r w:rsidR="00FA56AF" w:rsidRPr="00FA56AF">
              <w:rPr>
                <w:vertAlign w:val="superscript"/>
              </w:rPr>
              <w:t>(</w:t>
            </w:r>
            <w:r w:rsidR="006B0A90">
              <w:rPr>
                <w:vertAlign w:val="superscript"/>
              </w:rPr>
              <w:t>A</w:t>
            </w:r>
            <w:r w:rsidR="00FA56AF" w:rsidRPr="00FA56AF">
              <w:rPr>
                <w:vertAlign w:val="superscript"/>
              </w:rPr>
              <w:t>)</w:t>
            </w:r>
          </w:p>
        </w:tc>
        <w:tc>
          <w:tcPr>
            <w:tcW w:w="953" w:type="dxa"/>
          </w:tcPr>
          <w:p w14:paraId="6765B0AD" w14:textId="77777777" w:rsidR="003A6032" w:rsidRDefault="00B73AFB" w:rsidP="009B56F3">
            <w:pPr>
              <w:keepNext/>
              <w:spacing w:before="40" w:after="40" w:line="259" w:lineRule="auto"/>
              <w:jc w:val="center"/>
              <w:rPr>
                <w:sz w:val="22"/>
              </w:rPr>
            </w:pPr>
            <w:r w:rsidRPr="00A537AF">
              <w:rPr>
                <w:sz w:val="22"/>
              </w:rPr>
              <w:t>454</w:t>
            </w:r>
          </w:p>
          <w:p w14:paraId="722E4099" w14:textId="723C92D0" w:rsidR="00B73AFB" w:rsidRPr="00D92B66" w:rsidRDefault="00B73AFB" w:rsidP="009B56F3">
            <w:pPr>
              <w:keepNext/>
              <w:spacing w:before="40" w:after="40" w:line="259" w:lineRule="auto"/>
              <w:jc w:val="center"/>
              <w:rPr>
                <w:bCs/>
                <w:sz w:val="22"/>
                <w:szCs w:val="22"/>
              </w:rPr>
            </w:pPr>
          </w:p>
        </w:tc>
        <w:tc>
          <w:tcPr>
            <w:tcW w:w="1138" w:type="dxa"/>
            <w:tcBorders>
              <w:right w:val="single" w:sz="6" w:space="0" w:color="auto"/>
            </w:tcBorders>
          </w:tcPr>
          <w:p w14:paraId="7371217E" w14:textId="23BEF880" w:rsidR="00B73AFB" w:rsidRPr="0043595E" w:rsidRDefault="00B73AFB" w:rsidP="009B56F3">
            <w:pPr>
              <w:keepNext/>
              <w:spacing w:before="40" w:after="40" w:line="259" w:lineRule="auto"/>
              <w:jc w:val="center"/>
              <w:rPr>
                <w:bCs/>
                <w:sz w:val="22"/>
                <w:szCs w:val="22"/>
                <w:highlight w:val="yellow"/>
              </w:rPr>
            </w:pPr>
            <w:r w:rsidRPr="00D92B66">
              <w:rPr>
                <w:bCs/>
                <w:sz w:val="22"/>
                <w:szCs w:val="22"/>
              </w:rPr>
              <w:t>462</w:t>
            </w:r>
            <w:r w:rsidRPr="000144D4">
              <w:rPr>
                <w:bCs/>
                <w:sz w:val="22"/>
                <w:szCs w:val="22"/>
              </w:rPr>
              <w:t xml:space="preserve"> </w:t>
            </w:r>
          </w:p>
        </w:tc>
      </w:tr>
      <w:tr w:rsidR="004D2612" w14:paraId="1CB9526A" w14:textId="77777777" w:rsidTr="00F965C0">
        <w:trPr>
          <w:trHeight w:val="948"/>
        </w:trPr>
        <w:tc>
          <w:tcPr>
            <w:tcW w:w="9353" w:type="dxa"/>
            <w:gridSpan w:val="7"/>
            <w:tcBorders>
              <w:left w:val="single" w:sz="6" w:space="0" w:color="auto"/>
              <w:bottom w:val="single" w:sz="6" w:space="0" w:color="auto"/>
              <w:right w:val="single" w:sz="6" w:space="0" w:color="auto"/>
            </w:tcBorders>
          </w:tcPr>
          <w:p w14:paraId="566806EA" w14:textId="77777777" w:rsidR="00F6588E" w:rsidRPr="00F6588E" w:rsidRDefault="00F6588E" w:rsidP="00F6588E">
            <w:pPr>
              <w:pStyle w:val="ListParagraph"/>
              <w:numPr>
                <w:ilvl w:val="0"/>
                <w:numId w:val="38"/>
              </w:numPr>
              <w:spacing w:before="40" w:after="40" w:line="259" w:lineRule="auto"/>
              <w:ind w:left="306" w:hanging="284"/>
              <w:rPr>
                <w:sz w:val="20"/>
                <w:szCs w:val="20"/>
              </w:rPr>
            </w:pPr>
            <w:r>
              <w:rPr>
                <w:sz w:val="20"/>
                <w:szCs w:val="20"/>
              </w:rPr>
              <w:t>Note: f</w:t>
            </w:r>
            <w:r w:rsidR="00FA56AF">
              <w:rPr>
                <w:sz w:val="20"/>
                <w:szCs w:val="20"/>
              </w:rPr>
              <w:t xml:space="preserve">igure revised from previously reported 483 to 503 following internal audit of data </w:t>
            </w:r>
          </w:p>
          <w:p w14:paraId="2D2FC585" w14:textId="3EF42803" w:rsidR="00C8124B" w:rsidRPr="0016483B" w:rsidRDefault="00F6588E" w:rsidP="00AC3BB1">
            <w:pPr>
              <w:spacing w:before="40" w:after="40" w:line="259" w:lineRule="auto"/>
              <w:ind w:left="22"/>
              <w:rPr>
                <w:sz w:val="22"/>
                <w:szCs w:val="22"/>
              </w:rPr>
            </w:pPr>
            <w:r w:rsidRPr="00F6588E">
              <w:rPr>
                <w:sz w:val="22"/>
                <w:szCs w:val="22"/>
              </w:rPr>
              <w:t>Comment</w:t>
            </w:r>
            <w:r w:rsidR="004D2612" w:rsidRPr="00F6588E">
              <w:rPr>
                <w:sz w:val="22"/>
                <w:szCs w:val="22"/>
              </w:rPr>
              <w:t>:</w:t>
            </w:r>
            <w:r w:rsidR="00706988" w:rsidRPr="00F6588E">
              <w:rPr>
                <w:sz w:val="22"/>
                <w:szCs w:val="22"/>
              </w:rPr>
              <w:t xml:space="preserve"> </w:t>
            </w:r>
            <w:r w:rsidR="003A6032" w:rsidRPr="5BE505A3">
              <w:rPr>
                <w:sz w:val="22"/>
                <w:szCs w:val="22"/>
              </w:rPr>
              <w:t>Survivor registrations were strong this quarter due to two significant public hearings, and redress submissions being called for</w:t>
            </w:r>
            <w:r w:rsidR="00AC3BB1">
              <w:rPr>
                <w:sz w:val="22"/>
                <w:szCs w:val="22"/>
              </w:rPr>
              <w:t>.</w:t>
            </w:r>
          </w:p>
        </w:tc>
      </w:tr>
      <w:bookmarkEnd w:id="1"/>
    </w:tbl>
    <w:p w14:paraId="360C9B8F" w14:textId="77777777" w:rsidR="00AC3BB1" w:rsidRDefault="00AC3BB1" w:rsidP="00E56462">
      <w:pPr>
        <w:keepLines w:val="0"/>
        <w:spacing w:before="40" w:after="40"/>
        <w:rPr>
          <w:b/>
          <w:bCs/>
          <w:i/>
          <w:color w:val="1F546B" w:themeColor="text2"/>
          <w:szCs w:val="28"/>
        </w:rPr>
      </w:pPr>
    </w:p>
    <w:p w14:paraId="078CB231" w14:textId="6876F11C" w:rsidR="00BE67AB" w:rsidRDefault="00BE67AB" w:rsidP="00E56462">
      <w:pPr>
        <w:keepLines w:val="0"/>
        <w:spacing w:before="40" w:after="40"/>
        <w:rPr>
          <w:b/>
          <w:bCs/>
          <w:i/>
          <w:color w:val="1F546B" w:themeColor="text2"/>
          <w:szCs w:val="28"/>
        </w:rPr>
      </w:pPr>
      <w:r w:rsidRPr="00AF14D1">
        <w:rPr>
          <w:b/>
          <w:bCs/>
          <w:i/>
          <w:color w:val="1F546B" w:themeColor="text2"/>
          <w:szCs w:val="28"/>
        </w:rPr>
        <w:t xml:space="preserve">Community and Treaty Engagement </w:t>
      </w:r>
    </w:p>
    <w:p w14:paraId="68033D6D" w14:textId="77777777" w:rsidR="00C8124B" w:rsidRPr="00AF14D1" w:rsidRDefault="00C8124B" w:rsidP="00E56462">
      <w:pPr>
        <w:keepLines w:val="0"/>
        <w:spacing w:before="40" w:after="40"/>
        <w:rPr>
          <w:b/>
          <w:bCs/>
          <w:i/>
          <w:color w:val="1F546B" w:themeColor="text2"/>
          <w:szCs w:val="28"/>
        </w:rPr>
      </w:pPr>
    </w:p>
    <w:p w14:paraId="3B9CA82A" w14:textId="5A928C78" w:rsidR="00BE67AB" w:rsidRDefault="00BE67AB" w:rsidP="00C8124B">
      <w:pPr>
        <w:spacing w:before="0" w:after="0"/>
      </w:pPr>
      <w:r>
        <w:t xml:space="preserve">Engagement with Iwi, NGOs and support/community organisations. </w:t>
      </w:r>
      <w:r w:rsidRPr="00F9049C">
        <w:t xml:space="preserve">‘Engagement’ constitutes a stakeholder activity (e.g., large or small group meetings, </w:t>
      </w:r>
      <w:r>
        <w:t>significant conversations, face-to-</w:t>
      </w:r>
      <w:r w:rsidRPr="00F9049C">
        <w:t xml:space="preserve">face or virtual meetings that </w:t>
      </w:r>
      <w:r w:rsidR="005329DD">
        <w:t>a</w:t>
      </w:r>
      <w:r w:rsidRPr="00F9049C">
        <w:t>dvisors have with an external community stakeholder (new or established).</w:t>
      </w:r>
      <w:r>
        <w:t xml:space="preserve"> </w:t>
      </w:r>
    </w:p>
    <w:p w14:paraId="4323AAFD" w14:textId="77777777" w:rsidR="00C8124B" w:rsidRDefault="00C8124B" w:rsidP="00C8124B">
      <w:pPr>
        <w:spacing w:before="0" w:after="0"/>
      </w:pPr>
    </w:p>
    <w:p w14:paraId="39C71DA3" w14:textId="1F940214" w:rsidR="00F965C0" w:rsidRDefault="00BE67AB" w:rsidP="00C8124B">
      <w:pPr>
        <w:spacing w:before="0" w:after="0"/>
      </w:pPr>
      <w:r>
        <w:t xml:space="preserve">We will engage with external stakeholders </w:t>
      </w:r>
      <w:r w:rsidR="005329DD">
        <w:t>(</w:t>
      </w:r>
      <w:r>
        <w:t>with a focus on Māori, Iwi, Pacific people, Disabled and LGBT</w:t>
      </w:r>
      <w:r w:rsidR="00501DBD">
        <w:t>T</w:t>
      </w:r>
      <w:r>
        <w:t>IQA+</w:t>
      </w:r>
      <w:r w:rsidR="005329DD">
        <w:t>)</w:t>
      </w:r>
      <w:r>
        <w:t xml:space="preserve"> to increase awareness of </w:t>
      </w:r>
      <w:r w:rsidR="005329DD">
        <w:t>our work and to promote engagement</w:t>
      </w:r>
      <w:r>
        <w:t xml:space="preserve"> and </w:t>
      </w:r>
      <w:r w:rsidR="005329DD">
        <w:t xml:space="preserve">the </w:t>
      </w:r>
      <w:r>
        <w:t>registration of survivors</w:t>
      </w:r>
      <w:r w:rsidR="005329DD">
        <w:t>.</w:t>
      </w:r>
      <w:r w:rsidR="00F965C0">
        <w:br/>
      </w:r>
    </w:p>
    <w:tbl>
      <w:tblPr>
        <w:tblStyle w:val="TableGrid"/>
        <w:tblW w:w="9206" w:type="dxa"/>
        <w:tblLook w:val="04A0" w:firstRow="1" w:lastRow="0" w:firstColumn="1" w:lastColumn="0" w:noHBand="0" w:noVBand="1"/>
      </w:tblPr>
      <w:tblGrid>
        <w:gridCol w:w="2258"/>
        <w:gridCol w:w="1559"/>
        <w:gridCol w:w="1137"/>
        <w:gridCol w:w="1036"/>
        <w:gridCol w:w="1093"/>
        <w:gridCol w:w="1070"/>
        <w:gridCol w:w="1053"/>
      </w:tblGrid>
      <w:tr w:rsidR="00812890" w:rsidRPr="00D45D71" w14:paraId="701E1126" w14:textId="77777777" w:rsidTr="00812890">
        <w:tc>
          <w:tcPr>
            <w:tcW w:w="2258" w:type="dxa"/>
            <w:tcBorders>
              <w:top w:val="single" w:sz="6" w:space="0" w:color="auto"/>
              <w:left w:val="single" w:sz="6" w:space="0" w:color="auto"/>
            </w:tcBorders>
            <w:shd w:val="clear" w:color="auto" w:fill="92CC63" w:themeFill="accent4" w:themeFillTint="99"/>
          </w:tcPr>
          <w:p w14:paraId="168AE9C2" w14:textId="22E30E7A" w:rsidR="00812890" w:rsidRPr="003144F0" w:rsidRDefault="00812890" w:rsidP="00812890">
            <w:pPr>
              <w:keepNext/>
              <w:spacing w:before="40" w:after="40" w:line="259" w:lineRule="auto"/>
              <w:rPr>
                <w:bCs/>
                <w:sz w:val="22"/>
                <w:szCs w:val="22"/>
              </w:rPr>
            </w:pPr>
            <w:r w:rsidRPr="003144F0">
              <w:rPr>
                <w:b/>
                <w:bCs/>
                <w:sz w:val="22"/>
                <w:szCs w:val="22"/>
              </w:rPr>
              <w:t xml:space="preserve">w we will monitor our performance </w:t>
            </w:r>
            <w:r w:rsidRPr="003144F0">
              <w:rPr>
                <w:b/>
                <w:bCs/>
                <w:sz w:val="22"/>
                <w:szCs w:val="22"/>
              </w:rPr>
              <w:tab/>
            </w:r>
          </w:p>
        </w:tc>
        <w:tc>
          <w:tcPr>
            <w:tcW w:w="1559" w:type="dxa"/>
            <w:tcBorders>
              <w:top w:val="single" w:sz="6" w:space="0" w:color="auto"/>
            </w:tcBorders>
            <w:shd w:val="clear" w:color="auto" w:fill="92CC63" w:themeFill="accent4" w:themeFillTint="99"/>
          </w:tcPr>
          <w:p w14:paraId="60337995" w14:textId="77777777" w:rsidR="00C8124B" w:rsidRDefault="00812890" w:rsidP="00812890">
            <w:pPr>
              <w:keepNext/>
              <w:spacing w:before="40" w:after="40" w:line="259" w:lineRule="auto"/>
              <w:rPr>
                <w:b/>
                <w:bCs/>
                <w:sz w:val="22"/>
                <w:szCs w:val="22"/>
              </w:rPr>
            </w:pPr>
            <w:r w:rsidRPr="003144F0">
              <w:rPr>
                <w:b/>
                <w:bCs/>
                <w:sz w:val="22"/>
                <w:szCs w:val="22"/>
              </w:rPr>
              <w:t>Target</w:t>
            </w:r>
          </w:p>
          <w:p w14:paraId="6A366A80" w14:textId="5F587954" w:rsidR="00812890" w:rsidRPr="003144F0" w:rsidRDefault="00812890" w:rsidP="00812890">
            <w:pPr>
              <w:keepNext/>
              <w:spacing w:before="40" w:after="40" w:line="259" w:lineRule="auto"/>
              <w:rPr>
                <w:bCs/>
                <w:sz w:val="22"/>
                <w:szCs w:val="22"/>
              </w:rPr>
            </w:pPr>
            <w:r w:rsidRPr="003144F0">
              <w:rPr>
                <w:b/>
                <w:bCs/>
                <w:sz w:val="22"/>
                <w:szCs w:val="22"/>
              </w:rPr>
              <w:t xml:space="preserve"> 20/21</w:t>
            </w:r>
          </w:p>
        </w:tc>
        <w:tc>
          <w:tcPr>
            <w:tcW w:w="1137" w:type="dxa"/>
            <w:tcBorders>
              <w:top w:val="single" w:sz="6" w:space="0" w:color="auto"/>
            </w:tcBorders>
            <w:shd w:val="clear" w:color="auto" w:fill="92CC63" w:themeFill="accent4" w:themeFillTint="99"/>
          </w:tcPr>
          <w:p w14:paraId="04608A00" w14:textId="2CF099BA" w:rsidR="00812890" w:rsidRDefault="00812890" w:rsidP="00812890">
            <w:pPr>
              <w:keepNext/>
              <w:spacing w:before="40" w:after="40" w:line="259" w:lineRule="auto"/>
              <w:jc w:val="center"/>
              <w:rPr>
                <w:b/>
                <w:bCs/>
                <w:sz w:val="22"/>
                <w:szCs w:val="22"/>
              </w:rPr>
            </w:pPr>
            <w:r>
              <w:rPr>
                <w:b/>
                <w:bCs/>
                <w:sz w:val="22"/>
                <w:szCs w:val="22"/>
              </w:rPr>
              <w:t xml:space="preserve">Total 20/21 </w:t>
            </w:r>
          </w:p>
        </w:tc>
        <w:tc>
          <w:tcPr>
            <w:tcW w:w="1036" w:type="dxa"/>
            <w:tcBorders>
              <w:top w:val="single" w:sz="6" w:space="0" w:color="auto"/>
            </w:tcBorders>
            <w:shd w:val="clear" w:color="auto" w:fill="92CC63" w:themeFill="accent4" w:themeFillTint="99"/>
          </w:tcPr>
          <w:p w14:paraId="166DDD9E" w14:textId="4968852E" w:rsidR="00812890" w:rsidRDefault="00812890" w:rsidP="00812890">
            <w:pPr>
              <w:keepNext/>
              <w:spacing w:before="40" w:after="40" w:line="259" w:lineRule="auto"/>
              <w:jc w:val="center"/>
              <w:rPr>
                <w:b/>
                <w:bCs/>
                <w:sz w:val="22"/>
                <w:szCs w:val="22"/>
              </w:rPr>
            </w:pPr>
            <w:r>
              <w:rPr>
                <w:b/>
                <w:bCs/>
                <w:sz w:val="22"/>
                <w:szCs w:val="22"/>
              </w:rPr>
              <w:t>Apr-June 2021</w:t>
            </w:r>
          </w:p>
        </w:tc>
        <w:tc>
          <w:tcPr>
            <w:tcW w:w="1093" w:type="dxa"/>
            <w:tcBorders>
              <w:top w:val="single" w:sz="6" w:space="0" w:color="auto"/>
            </w:tcBorders>
            <w:shd w:val="clear" w:color="auto" w:fill="92CC63" w:themeFill="accent4" w:themeFillTint="99"/>
          </w:tcPr>
          <w:p w14:paraId="1B17A6D8" w14:textId="29B9B3F4" w:rsidR="00812890" w:rsidRPr="003144F0" w:rsidRDefault="00812890" w:rsidP="00812890">
            <w:pPr>
              <w:keepNext/>
              <w:spacing w:before="40" w:after="40" w:line="259" w:lineRule="auto"/>
              <w:jc w:val="center"/>
              <w:rPr>
                <w:b/>
                <w:bCs/>
                <w:sz w:val="22"/>
                <w:szCs w:val="22"/>
              </w:rPr>
            </w:pPr>
            <w:r w:rsidRPr="003144F0">
              <w:rPr>
                <w:b/>
                <w:bCs/>
                <w:sz w:val="22"/>
                <w:szCs w:val="22"/>
              </w:rPr>
              <w:t xml:space="preserve">Jan-Mar </w:t>
            </w:r>
            <w:r>
              <w:rPr>
                <w:b/>
                <w:bCs/>
                <w:sz w:val="22"/>
                <w:szCs w:val="22"/>
              </w:rPr>
              <w:t>20</w:t>
            </w:r>
            <w:r w:rsidRPr="003144F0">
              <w:rPr>
                <w:b/>
                <w:bCs/>
                <w:sz w:val="22"/>
                <w:szCs w:val="22"/>
              </w:rPr>
              <w:t>21</w:t>
            </w:r>
          </w:p>
        </w:tc>
        <w:tc>
          <w:tcPr>
            <w:tcW w:w="1070" w:type="dxa"/>
            <w:tcBorders>
              <w:top w:val="single" w:sz="6" w:space="0" w:color="auto"/>
            </w:tcBorders>
            <w:shd w:val="clear" w:color="auto" w:fill="92CC63" w:themeFill="accent4" w:themeFillTint="99"/>
          </w:tcPr>
          <w:p w14:paraId="7B0EF7FA" w14:textId="5D8169AC" w:rsidR="00812890" w:rsidRPr="003144F0" w:rsidRDefault="00812890" w:rsidP="00812890">
            <w:pPr>
              <w:keepNext/>
              <w:spacing w:before="40" w:after="40" w:line="259" w:lineRule="auto"/>
              <w:jc w:val="center"/>
              <w:rPr>
                <w:b/>
                <w:bCs/>
                <w:sz w:val="22"/>
                <w:szCs w:val="22"/>
              </w:rPr>
            </w:pPr>
            <w:r w:rsidRPr="003144F0">
              <w:rPr>
                <w:b/>
                <w:bCs/>
                <w:sz w:val="22"/>
                <w:szCs w:val="22"/>
              </w:rPr>
              <w:t xml:space="preserve">Oct-Dec </w:t>
            </w:r>
            <w:r>
              <w:rPr>
                <w:b/>
                <w:bCs/>
                <w:sz w:val="22"/>
                <w:szCs w:val="22"/>
              </w:rPr>
              <w:t>20</w:t>
            </w:r>
            <w:r w:rsidRPr="003144F0">
              <w:rPr>
                <w:b/>
                <w:bCs/>
                <w:sz w:val="22"/>
                <w:szCs w:val="22"/>
              </w:rPr>
              <w:t>20</w:t>
            </w:r>
          </w:p>
        </w:tc>
        <w:tc>
          <w:tcPr>
            <w:tcW w:w="1053" w:type="dxa"/>
            <w:tcBorders>
              <w:top w:val="single" w:sz="6" w:space="0" w:color="auto"/>
            </w:tcBorders>
            <w:shd w:val="clear" w:color="auto" w:fill="92CC63" w:themeFill="accent4" w:themeFillTint="99"/>
          </w:tcPr>
          <w:p w14:paraId="50F49A6C" w14:textId="6E413D56" w:rsidR="00812890" w:rsidRPr="003144F0" w:rsidRDefault="00812890" w:rsidP="00812890">
            <w:pPr>
              <w:keepNext/>
              <w:spacing w:before="40" w:after="40" w:line="259" w:lineRule="auto"/>
              <w:jc w:val="center"/>
              <w:rPr>
                <w:b/>
                <w:bCs/>
                <w:sz w:val="22"/>
                <w:szCs w:val="22"/>
              </w:rPr>
            </w:pPr>
            <w:r w:rsidRPr="003144F0">
              <w:rPr>
                <w:b/>
                <w:bCs/>
                <w:sz w:val="22"/>
                <w:szCs w:val="22"/>
              </w:rPr>
              <w:t xml:space="preserve">July-Sept </w:t>
            </w:r>
            <w:r>
              <w:rPr>
                <w:b/>
                <w:bCs/>
                <w:sz w:val="22"/>
                <w:szCs w:val="22"/>
              </w:rPr>
              <w:t>20</w:t>
            </w:r>
            <w:r w:rsidRPr="003144F0">
              <w:rPr>
                <w:b/>
                <w:bCs/>
                <w:sz w:val="22"/>
                <w:szCs w:val="22"/>
              </w:rPr>
              <w:t>20</w:t>
            </w:r>
          </w:p>
        </w:tc>
      </w:tr>
      <w:tr w:rsidR="00812890" w:rsidRPr="00D45D71" w14:paraId="5074D54B" w14:textId="77777777" w:rsidTr="00812890">
        <w:tc>
          <w:tcPr>
            <w:tcW w:w="2258" w:type="dxa"/>
            <w:tcBorders>
              <w:left w:val="single" w:sz="6" w:space="0" w:color="auto"/>
            </w:tcBorders>
          </w:tcPr>
          <w:p w14:paraId="4C84BFB0" w14:textId="77777777" w:rsidR="00812890" w:rsidRPr="001B71EA" w:rsidRDefault="00812890" w:rsidP="00812890">
            <w:pPr>
              <w:keepNext/>
              <w:spacing w:before="40" w:after="40" w:line="259" w:lineRule="auto"/>
              <w:rPr>
                <w:bCs/>
                <w:sz w:val="22"/>
                <w:szCs w:val="22"/>
              </w:rPr>
            </w:pPr>
            <w:r w:rsidRPr="001B71EA">
              <w:rPr>
                <w:bCs/>
                <w:sz w:val="22"/>
                <w:szCs w:val="22"/>
              </w:rPr>
              <w:t>Community engagements</w:t>
            </w:r>
          </w:p>
        </w:tc>
        <w:tc>
          <w:tcPr>
            <w:tcW w:w="1559" w:type="dxa"/>
          </w:tcPr>
          <w:p w14:paraId="1BBA9789" w14:textId="77777777" w:rsidR="00812890" w:rsidRPr="00061335" w:rsidRDefault="00812890" w:rsidP="00812890">
            <w:pPr>
              <w:keepNext/>
              <w:spacing w:before="40" w:after="40" w:line="259" w:lineRule="auto"/>
              <w:rPr>
                <w:bCs/>
                <w:sz w:val="22"/>
                <w:szCs w:val="22"/>
              </w:rPr>
            </w:pPr>
            <w:r>
              <w:rPr>
                <w:bCs/>
                <w:sz w:val="22"/>
                <w:szCs w:val="22"/>
              </w:rPr>
              <w:t>120 per month</w:t>
            </w:r>
          </w:p>
        </w:tc>
        <w:tc>
          <w:tcPr>
            <w:tcW w:w="1137" w:type="dxa"/>
          </w:tcPr>
          <w:p w14:paraId="7D0DBA36" w14:textId="25464CD6" w:rsidR="00812890" w:rsidRDefault="00812890" w:rsidP="00812890">
            <w:pPr>
              <w:keepNext/>
              <w:spacing w:before="40" w:after="40" w:line="259" w:lineRule="auto"/>
              <w:jc w:val="center"/>
              <w:rPr>
                <w:bCs/>
              </w:rPr>
            </w:pPr>
            <w:r>
              <w:rPr>
                <w:bCs/>
                <w:sz w:val="22"/>
                <w:szCs w:val="22"/>
              </w:rPr>
              <w:t>2125</w:t>
            </w:r>
          </w:p>
        </w:tc>
        <w:tc>
          <w:tcPr>
            <w:tcW w:w="1036" w:type="dxa"/>
            <w:shd w:val="clear" w:color="auto" w:fill="FFFFFF" w:themeFill="background1"/>
          </w:tcPr>
          <w:p w14:paraId="77E777FF" w14:textId="49CA09C8" w:rsidR="00812890" w:rsidRDefault="00812890" w:rsidP="00812890">
            <w:pPr>
              <w:keepNext/>
              <w:spacing w:before="40" w:after="40" w:line="259" w:lineRule="auto"/>
              <w:jc w:val="center"/>
              <w:rPr>
                <w:bCs/>
              </w:rPr>
            </w:pPr>
            <w:r>
              <w:rPr>
                <w:bCs/>
                <w:sz w:val="22"/>
                <w:szCs w:val="22"/>
              </w:rPr>
              <w:t>751</w:t>
            </w:r>
          </w:p>
        </w:tc>
        <w:tc>
          <w:tcPr>
            <w:tcW w:w="1093" w:type="dxa"/>
            <w:shd w:val="clear" w:color="auto" w:fill="FFFFFF" w:themeFill="background1"/>
          </w:tcPr>
          <w:p w14:paraId="4335160E" w14:textId="543963B1" w:rsidR="00812890" w:rsidRDefault="00812890" w:rsidP="00812890">
            <w:pPr>
              <w:keepNext/>
              <w:spacing w:before="40" w:after="40" w:line="259" w:lineRule="auto"/>
              <w:jc w:val="center"/>
              <w:rPr>
                <w:bCs/>
              </w:rPr>
            </w:pPr>
            <w:r>
              <w:rPr>
                <w:bCs/>
              </w:rPr>
              <w:t>1374</w:t>
            </w:r>
          </w:p>
        </w:tc>
        <w:tc>
          <w:tcPr>
            <w:tcW w:w="1070" w:type="dxa"/>
            <w:shd w:val="clear" w:color="auto" w:fill="FFFFFF" w:themeFill="background1"/>
          </w:tcPr>
          <w:p w14:paraId="6DB4E719" w14:textId="48BFC2C7" w:rsidR="00812890" w:rsidRDefault="00812890" w:rsidP="00812890">
            <w:pPr>
              <w:keepNext/>
              <w:spacing w:before="40" w:after="40" w:line="259" w:lineRule="auto"/>
              <w:jc w:val="center"/>
              <w:rPr>
                <w:bCs/>
              </w:rPr>
            </w:pPr>
            <w:r>
              <w:rPr>
                <w:bCs/>
              </w:rPr>
              <w:t>466</w:t>
            </w:r>
          </w:p>
        </w:tc>
        <w:tc>
          <w:tcPr>
            <w:tcW w:w="1053" w:type="dxa"/>
          </w:tcPr>
          <w:p w14:paraId="50859001" w14:textId="57DB0D0B" w:rsidR="00812890" w:rsidRDefault="00812890" w:rsidP="00812890">
            <w:pPr>
              <w:keepNext/>
              <w:spacing w:before="40" w:after="40" w:line="259" w:lineRule="auto"/>
              <w:jc w:val="center"/>
              <w:rPr>
                <w:bCs/>
              </w:rPr>
            </w:pPr>
            <w:r>
              <w:rPr>
                <w:bCs/>
              </w:rPr>
              <w:t>292</w:t>
            </w:r>
          </w:p>
        </w:tc>
      </w:tr>
      <w:tr w:rsidR="00812890" w:rsidRPr="00D45D71" w14:paraId="43776FBB" w14:textId="77777777" w:rsidTr="00812890">
        <w:tc>
          <w:tcPr>
            <w:tcW w:w="2258" w:type="dxa"/>
            <w:tcBorders>
              <w:left w:val="single" w:sz="6" w:space="0" w:color="auto"/>
            </w:tcBorders>
          </w:tcPr>
          <w:p w14:paraId="2D277A56" w14:textId="77777777" w:rsidR="00812890" w:rsidRPr="001B71EA" w:rsidRDefault="00812890" w:rsidP="00812890">
            <w:pPr>
              <w:keepNext/>
              <w:spacing w:before="40" w:after="40" w:line="259" w:lineRule="auto"/>
              <w:rPr>
                <w:bCs/>
                <w:sz w:val="22"/>
                <w:szCs w:val="22"/>
              </w:rPr>
            </w:pPr>
            <w:r w:rsidRPr="001B71EA">
              <w:rPr>
                <w:bCs/>
                <w:sz w:val="22"/>
                <w:szCs w:val="22"/>
              </w:rPr>
              <w:t xml:space="preserve">Treaty engagements                                                                                     </w:t>
            </w:r>
          </w:p>
        </w:tc>
        <w:tc>
          <w:tcPr>
            <w:tcW w:w="1559" w:type="dxa"/>
          </w:tcPr>
          <w:p w14:paraId="5E8CF1C8" w14:textId="77777777" w:rsidR="00812890" w:rsidRPr="00061335" w:rsidRDefault="00812890" w:rsidP="00812890">
            <w:pPr>
              <w:keepNext/>
              <w:spacing w:before="40" w:after="40" w:line="259" w:lineRule="auto"/>
              <w:rPr>
                <w:bCs/>
                <w:sz w:val="22"/>
                <w:szCs w:val="22"/>
              </w:rPr>
            </w:pPr>
            <w:r>
              <w:rPr>
                <w:bCs/>
                <w:sz w:val="22"/>
                <w:szCs w:val="22"/>
              </w:rPr>
              <w:t xml:space="preserve">5 </w:t>
            </w:r>
            <w:proofErr w:type="gramStart"/>
            <w:r>
              <w:rPr>
                <w:bCs/>
                <w:sz w:val="22"/>
                <w:szCs w:val="22"/>
              </w:rPr>
              <w:t>iwi</w:t>
            </w:r>
            <w:proofErr w:type="gramEnd"/>
            <w:r>
              <w:rPr>
                <w:bCs/>
                <w:sz w:val="22"/>
                <w:szCs w:val="22"/>
              </w:rPr>
              <w:t xml:space="preserve"> and 10 survivors per month </w:t>
            </w:r>
          </w:p>
        </w:tc>
        <w:tc>
          <w:tcPr>
            <w:tcW w:w="1137" w:type="dxa"/>
          </w:tcPr>
          <w:p w14:paraId="2D529847" w14:textId="14FE8689" w:rsidR="00812890" w:rsidRPr="00C077B7" w:rsidRDefault="00812890" w:rsidP="00812890">
            <w:pPr>
              <w:keepNext/>
              <w:spacing w:before="40" w:after="40" w:line="259" w:lineRule="auto"/>
              <w:jc w:val="center"/>
              <w:rPr>
                <w:bCs/>
                <w:sz w:val="22"/>
                <w:szCs w:val="22"/>
              </w:rPr>
            </w:pPr>
            <w:r w:rsidRPr="00C077B7">
              <w:rPr>
                <w:bCs/>
                <w:sz w:val="22"/>
                <w:szCs w:val="22"/>
              </w:rPr>
              <w:t>401</w:t>
            </w:r>
          </w:p>
        </w:tc>
        <w:tc>
          <w:tcPr>
            <w:tcW w:w="1036" w:type="dxa"/>
            <w:shd w:val="clear" w:color="auto" w:fill="FFFFFF" w:themeFill="background1"/>
          </w:tcPr>
          <w:p w14:paraId="78DD61C7" w14:textId="66E60FDA" w:rsidR="00812890" w:rsidRPr="00C077B7" w:rsidRDefault="00812890" w:rsidP="00812890">
            <w:pPr>
              <w:keepNext/>
              <w:spacing w:before="40" w:after="40" w:line="259" w:lineRule="auto"/>
              <w:jc w:val="center"/>
              <w:rPr>
                <w:bCs/>
                <w:sz w:val="22"/>
                <w:szCs w:val="22"/>
              </w:rPr>
            </w:pPr>
            <w:r w:rsidRPr="00C077B7">
              <w:rPr>
                <w:bCs/>
                <w:sz w:val="22"/>
                <w:szCs w:val="22"/>
              </w:rPr>
              <w:t>127</w:t>
            </w:r>
          </w:p>
        </w:tc>
        <w:tc>
          <w:tcPr>
            <w:tcW w:w="1093" w:type="dxa"/>
            <w:shd w:val="clear" w:color="auto" w:fill="FFFFFF" w:themeFill="background1"/>
          </w:tcPr>
          <w:p w14:paraId="093CB157" w14:textId="38B26527" w:rsidR="00812890" w:rsidRPr="00C077B7" w:rsidRDefault="00812890" w:rsidP="00812890">
            <w:pPr>
              <w:keepNext/>
              <w:spacing w:before="40" w:after="40" w:line="259" w:lineRule="auto"/>
              <w:jc w:val="center"/>
              <w:rPr>
                <w:bCs/>
                <w:sz w:val="22"/>
                <w:szCs w:val="22"/>
              </w:rPr>
            </w:pPr>
            <w:r w:rsidRPr="00C077B7">
              <w:rPr>
                <w:bCs/>
                <w:sz w:val="22"/>
                <w:szCs w:val="22"/>
              </w:rPr>
              <w:t>135</w:t>
            </w:r>
          </w:p>
        </w:tc>
        <w:tc>
          <w:tcPr>
            <w:tcW w:w="1070" w:type="dxa"/>
            <w:shd w:val="clear" w:color="auto" w:fill="FFFFFF" w:themeFill="background1"/>
          </w:tcPr>
          <w:p w14:paraId="740AC7A5" w14:textId="7FA0259B" w:rsidR="00812890" w:rsidRPr="00C077B7" w:rsidRDefault="00812890" w:rsidP="00812890">
            <w:pPr>
              <w:keepNext/>
              <w:spacing w:before="40" w:after="40" w:line="259" w:lineRule="auto"/>
              <w:jc w:val="center"/>
              <w:rPr>
                <w:bCs/>
                <w:sz w:val="22"/>
                <w:szCs w:val="22"/>
              </w:rPr>
            </w:pPr>
            <w:r w:rsidRPr="00C077B7">
              <w:rPr>
                <w:bCs/>
                <w:sz w:val="22"/>
                <w:szCs w:val="22"/>
              </w:rPr>
              <w:t>86</w:t>
            </w:r>
          </w:p>
        </w:tc>
        <w:tc>
          <w:tcPr>
            <w:tcW w:w="1053" w:type="dxa"/>
          </w:tcPr>
          <w:p w14:paraId="213529FA" w14:textId="09904221" w:rsidR="00812890" w:rsidRPr="00C077B7" w:rsidRDefault="00812890" w:rsidP="00812890">
            <w:pPr>
              <w:keepNext/>
              <w:spacing w:before="40" w:after="40" w:line="259" w:lineRule="auto"/>
              <w:jc w:val="center"/>
              <w:rPr>
                <w:bCs/>
                <w:sz w:val="22"/>
                <w:szCs w:val="22"/>
              </w:rPr>
            </w:pPr>
            <w:r w:rsidRPr="00C077B7">
              <w:rPr>
                <w:bCs/>
                <w:sz w:val="22"/>
                <w:szCs w:val="22"/>
              </w:rPr>
              <w:t>53</w:t>
            </w:r>
          </w:p>
        </w:tc>
      </w:tr>
      <w:tr w:rsidR="00812890" w:rsidRPr="00D45D71" w14:paraId="6A1A1A21" w14:textId="77777777" w:rsidTr="00812890">
        <w:tc>
          <w:tcPr>
            <w:tcW w:w="9206" w:type="dxa"/>
            <w:gridSpan w:val="7"/>
            <w:tcBorders>
              <w:left w:val="single" w:sz="6" w:space="0" w:color="auto"/>
            </w:tcBorders>
          </w:tcPr>
          <w:p w14:paraId="51B36442" w14:textId="3694D09F" w:rsidR="00812890" w:rsidRPr="00E171D4" w:rsidRDefault="00812890" w:rsidP="00AC3BB1">
            <w:pPr>
              <w:keepNext/>
              <w:spacing w:before="0" w:after="0" w:line="259" w:lineRule="auto"/>
              <w:rPr>
                <w:bCs/>
              </w:rPr>
            </w:pPr>
            <w:r w:rsidRPr="00B7046C">
              <w:rPr>
                <w:sz w:val="22"/>
                <w:szCs w:val="22"/>
              </w:rPr>
              <w:t xml:space="preserve">Comments: </w:t>
            </w:r>
            <w:r w:rsidR="00C077B7">
              <w:rPr>
                <w:sz w:val="22"/>
                <w:szCs w:val="22"/>
              </w:rPr>
              <w:t xml:space="preserve">The breakdown of Treaty engagement in the fourth quarter is as follows: April – 31 with iwi, and 56 with survivors; May - 14 with survivors (iwi figures not available); June </w:t>
            </w:r>
            <w:r w:rsidR="00C8124B">
              <w:rPr>
                <w:sz w:val="22"/>
                <w:szCs w:val="22"/>
              </w:rPr>
              <w:t xml:space="preserve">- </w:t>
            </w:r>
            <w:r w:rsidR="00C077B7">
              <w:rPr>
                <w:sz w:val="22"/>
                <w:szCs w:val="22"/>
              </w:rPr>
              <w:t>15 with iwi and 10 with survivors</w:t>
            </w:r>
          </w:p>
        </w:tc>
      </w:tr>
    </w:tbl>
    <w:p w14:paraId="2D44FFE8" w14:textId="77777777" w:rsidR="00F965C0" w:rsidRDefault="00F965C0" w:rsidP="00BE67AB">
      <w:pPr>
        <w:pStyle w:val="Heading2"/>
      </w:pPr>
      <w:bookmarkStart w:id="2" w:name="_Toc47682412"/>
      <w:bookmarkStart w:id="3" w:name="_Toc54193236"/>
      <w:bookmarkStart w:id="4" w:name="_Hlk76029427"/>
    </w:p>
    <w:p w14:paraId="49C82DDB" w14:textId="77777777" w:rsidR="00F965C0" w:rsidRDefault="00F965C0">
      <w:pPr>
        <w:keepLines w:val="0"/>
        <w:rPr>
          <w:rFonts w:cs="Arial"/>
          <w:b/>
          <w:bCs/>
          <w:iCs/>
          <w:color w:val="1F546B"/>
          <w:sz w:val="36"/>
          <w:szCs w:val="28"/>
        </w:rPr>
      </w:pPr>
      <w:r>
        <w:br w:type="page"/>
      </w:r>
    </w:p>
    <w:p w14:paraId="0388B4ED" w14:textId="4B1A44A4" w:rsidR="00BE67AB" w:rsidRDefault="00BE67AB" w:rsidP="00BE67AB">
      <w:pPr>
        <w:pStyle w:val="Heading2"/>
      </w:pPr>
      <w:r>
        <w:lastRenderedPageBreak/>
        <w:t>Organisational Health and Capability</w:t>
      </w:r>
      <w:bookmarkEnd w:id="2"/>
      <w:bookmarkEnd w:id="3"/>
    </w:p>
    <w:p w14:paraId="2E9188D8" w14:textId="77777777" w:rsidR="00BE67AB" w:rsidRPr="00476FCA" w:rsidRDefault="00BE67AB" w:rsidP="00C8124B">
      <w:pPr>
        <w:spacing w:before="0" w:after="0"/>
      </w:pPr>
      <w:r>
        <w:t xml:space="preserve">While the Department is the substantive employer of Royal Commission staff, the Royal Commission is independent.  </w:t>
      </w:r>
      <w:r w:rsidRPr="00294EA8">
        <w:t>These measures are designed to provide reassurance to the Minister that the Royal Commission is functioning well as an entity.</w:t>
      </w:r>
      <w:bookmarkStart w:id="5" w:name="_Hlk46816323"/>
    </w:p>
    <w:p w14:paraId="203B8868" w14:textId="77777777" w:rsidR="00BE67AB" w:rsidRDefault="00BE67AB" w:rsidP="00BE67AB">
      <w:pPr>
        <w:pStyle w:val="Heading4"/>
      </w:pPr>
      <w:bookmarkStart w:id="6" w:name="_Hlk54944784"/>
      <w:r>
        <w:t xml:space="preserve">Human resources </w:t>
      </w:r>
    </w:p>
    <w:p w14:paraId="26ECD1A1" w14:textId="31CC42D0" w:rsidR="00BE67AB" w:rsidRDefault="00BE67AB" w:rsidP="00C8124B">
      <w:pPr>
        <w:spacing w:before="0" w:after="0"/>
      </w:pPr>
      <w:r>
        <w:t xml:space="preserve">We will monitor FTEs recruited against our annual resource plan. </w:t>
      </w:r>
      <w:r w:rsidRPr="004C7CAE">
        <w:rPr>
          <w:iCs/>
        </w:rPr>
        <w:t>The R</w:t>
      </w:r>
      <w:r>
        <w:rPr>
          <w:iCs/>
        </w:rPr>
        <w:t>oyal Commission’s</w:t>
      </w:r>
      <w:r w:rsidRPr="004C7CAE">
        <w:rPr>
          <w:iCs/>
        </w:rPr>
        <w:t xml:space="preserve"> resource plan is based on each business unit having completed a comprehensive people planning and financial modelling process</w:t>
      </w:r>
      <w:r>
        <w:rPr>
          <w:iCs/>
        </w:rPr>
        <w:t>.</w:t>
      </w:r>
      <w:r w:rsidRPr="004C7CAE">
        <w:rPr>
          <w:i/>
          <w:iCs/>
        </w:rPr>
        <w:t xml:space="preserve"> </w:t>
      </w:r>
      <w:r w:rsidRPr="004C7CAE">
        <w:t xml:space="preserve">The resource plan </w:t>
      </w:r>
      <w:r>
        <w:t xml:space="preserve">for 2020/21 </w:t>
      </w:r>
      <w:r w:rsidRPr="004C7CAE">
        <w:t xml:space="preserve">shows </w:t>
      </w:r>
      <w:r>
        <w:t xml:space="preserve">the overall </w:t>
      </w:r>
      <w:r w:rsidRPr="004C7CAE">
        <w:t>FTE numbers and the resource mix that the Royal Commission is aiming</w:t>
      </w:r>
      <w:r>
        <w:t xml:space="preserve"> to have in place by 30 June 2021.</w:t>
      </w:r>
    </w:p>
    <w:p w14:paraId="042BFECE" w14:textId="77777777" w:rsidR="00C8124B" w:rsidRPr="004C7CAE" w:rsidRDefault="00C8124B" w:rsidP="00C8124B">
      <w:pPr>
        <w:spacing w:before="0" w:after="0"/>
      </w:pPr>
    </w:p>
    <w:tbl>
      <w:tblPr>
        <w:tblStyle w:val="TableGrid"/>
        <w:tblW w:w="9064" w:type="dxa"/>
        <w:tblLook w:val="04A0" w:firstRow="1" w:lastRow="0" w:firstColumn="1" w:lastColumn="0" w:noHBand="0" w:noVBand="1"/>
      </w:tblPr>
      <w:tblGrid>
        <w:gridCol w:w="2331"/>
        <w:gridCol w:w="804"/>
        <w:gridCol w:w="1456"/>
        <w:gridCol w:w="1473"/>
        <w:gridCol w:w="1495"/>
        <w:gridCol w:w="1505"/>
      </w:tblGrid>
      <w:tr w:rsidR="005C786F" w:rsidRPr="00D45D71" w14:paraId="2B443A6B" w14:textId="77777777" w:rsidTr="00C077B7">
        <w:tc>
          <w:tcPr>
            <w:tcW w:w="2331" w:type="dxa"/>
            <w:tcBorders>
              <w:top w:val="single" w:sz="4" w:space="0" w:color="auto"/>
              <w:left w:val="single" w:sz="4" w:space="0" w:color="auto"/>
            </w:tcBorders>
            <w:shd w:val="clear" w:color="auto" w:fill="92CC63" w:themeFill="accent4" w:themeFillTint="99"/>
          </w:tcPr>
          <w:p w14:paraId="6632CAC7" w14:textId="77777777" w:rsidR="005C786F" w:rsidRPr="00061335" w:rsidRDefault="005C786F" w:rsidP="00C2531D">
            <w:pPr>
              <w:keepNext/>
              <w:spacing w:before="40" w:after="40" w:line="259" w:lineRule="auto"/>
              <w:rPr>
                <w:bCs/>
                <w:sz w:val="22"/>
                <w:szCs w:val="22"/>
              </w:rPr>
            </w:pPr>
            <w:r w:rsidRPr="00061335">
              <w:rPr>
                <w:b/>
                <w:bCs/>
                <w:sz w:val="22"/>
                <w:szCs w:val="22"/>
              </w:rPr>
              <w:t xml:space="preserve">How we will monitor our performance </w:t>
            </w:r>
            <w:r w:rsidRPr="00061335">
              <w:rPr>
                <w:b/>
                <w:bCs/>
                <w:sz w:val="22"/>
                <w:szCs w:val="22"/>
              </w:rPr>
              <w:tab/>
            </w:r>
          </w:p>
        </w:tc>
        <w:tc>
          <w:tcPr>
            <w:tcW w:w="804" w:type="dxa"/>
            <w:tcBorders>
              <w:top w:val="single" w:sz="4" w:space="0" w:color="auto"/>
            </w:tcBorders>
            <w:shd w:val="clear" w:color="auto" w:fill="92CC63" w:themeFill="accent4" w:themeFillTint="99"/>
          </w:tcPr>
          <w:p w14:paraId="459A2476" w14:textId="77777777" w:rsidR="005C786F" w:rsidRDefault="005C786F" w:rsidP="00C2531D">
            <w:pPr>
              <w:keepNext/>
              <w:spacing w:before="40" w:after="40" w:line="259" w:lineRule="auto"/>
              <w:rPr>
                <w:b/>
                <w:bCs/>
                <w:sz w:val="22"/>
                <w:szCs w:val="22"/>
              </w:rPr>
            </w:pPr>
            <w:r w:rsidRPr="00061335">
              <w:rPr>
                <w:b/>
                <w:bCs/>
                <w:sz w:val="22"/>
                <w:szCs w:val="22"/>
              </w:rPr>
              <w:t>Target 20/21</w:t>
            </w:r>
            <w:r>
              <w:rPr>
                <w:b/>
                <w:bCs/>
                <w:sz w:val="22"/>
                <w:szCs w:val="22"/>
              </w:rPr>
              <w:br/>
            </w:r>
          </w:p>
          <w:p w14:paraId="4575997C" w14:textId="77777777" w:rsidR="005C786F" w:rsidRPr="00061335" w:rsidRDefault="005C786F" w:rsidP="00C2531D">
            <w:pPr>
              <w:keepNext/>
              <w:spacing w:before="40" w:after="40" w:line="259" w:lineRule="auto"/>
              <w:rPr>
                <w:bCs/>
                <w:sz w:val="22"/>
                <w:szCs w:val="22"/>
              </w:rPr>
            </w:pPr>
          </w:p>
        </w:tc>
        <w:tc>
          <w:tcPr>
            <w:tcW w:w="1456" w:type="dxa"/>
            <w:tcBorders>
              <w:top w:val="single" w:sz="4" w:space="0" w:color="auto"/>
            </w:tcBorders>
            <w:shd w:val="clear" w:color="auto" w:fill="92CC63" w:themeFill="accent4" w:themeFillTint="99"/>
          </w:tcPr>
          <w:p w14:paraId="68CD97E1" w14:textId="1121B0C9" w:rsidR="005C786F" w:rsidRDefault="005C786F" w:rsidP="005C786F">
            <w:pPr>
              <w:keepNext/>
              <w:spacing w:before="40" w:after="40" w:line="259" w:lineRule="auto"/>
              <w:jc w:val="center"/>
              <w:rPr>
                <w:b/>
                <w:bCs/>
                <w:sz w:val="22"/>
                <w:szCs w:val="22"/>
              </w:rPr>
            </w:pPr>
            <w:r>
              <w:rPr>
                <w:b/>
                <w:bCs/>
                <w:sz w:val="22"/>
                <w:szCs w:val="22"/>
              </w:rPr>
              <w:t>FTE’s (actual) as at 30 June 2021</w:t>
            </w:r>
          </w:p>
        </w:tc>
        <w:tc>
          <w:tcPr>
            <w:tcW w:w="1473" w:type="dxa"/>
            <w:tcBorders>
              <w:top w:val="single" w:sz="4" w:space="0" w:color="auto"/>
            </w:tcBorders>
            <w:shd w:val="clear" w:color="auto" w:fill="92CC63" w:themeFill="accent4" w:themeFillTint="99"/>
          </w:tcPr>
          <w:p w14:paraId="6E353037" w14:textId="7050DA24" w:rsidR="005C786F" w:rsidRDefault="005C786F" w:rsidP="00E30A76">
            <w:pPr>
              <w:keepNext/>
              <w:spacing w:before="40" w:after="40" w:line="259" w:lineRule="auto"/>
              <w:jc w:val="center"/>
              <w:rPr>
                <w:b/>
                <w:bCs/>
                <w:sz w:val="22"/>
                <w:szCs w:val="22"/>
              </w:rPr>
            </w:pPr>
            <w:r>
              <w:rPr>
                <w:b/>
                <w:bCs/>
                <w:sz w:val="22"/>
                <w:szCs w:val="22"/>
              </w:rPr>
              <w:t>FTE’s (actual) as at 31 March 2021</w:t>
            </w:r>
          </w:p>
        </w:tc>
        <w:tc>
          <w:tcPr>
            <w:tcW w:w="1495" w:type="dxa"/>
            <w:tcBorders>
              <w:top w:val="single" w:sz="4" w:space="0" w:color="auto"/>
            </w:tcBorders>
            <w:shd w:val="clear" w:color="auto" w:fill="92CC63" w:themeFill="accent4" w:themeFillTint="99"/>
          </w:tcPr>
          <w:p w14:paraId="4B8E02FD" w14:textId="7D1DE0E0" w:rsidR="005C786F" w:rsidRDefault="005C786F" w:rsidP="00E30A76">
            <w:pPr>
              <w:keepNext/>
              <w:spacing w:before="40" w:after="40" w:line="259" w:lineRule="auto"/>
              <w:jc w:val="center"/>
              <w:rPr>
                <w:b/>
                <w:bCs/>
                <w:sz w:val="22"/>
                <w:szCs w:val="22"/>
              </w:rPr>
            </w:pPr>
            <w:r>
              <w:rPr>
                <w:b/>
                <w:bCs/>
                <w:sz w:val="22"/>
                <w:szCs w:val="22"/>
              </w:rPr>
              <w:t>FTE’s (actual) as at 31 Dec 2020</w:t>
            </w:r>
          </w:p>
        </w:tc>
        <w:tc>
          <w:tcPr>
            <w:tcW w:w="1505" w:type="dxa"/>
            <w:tcBorders>
              <w:top w:val="single" w:sz="4" w:space="0" w:color="auto"/>
              <w:right w:val="single" w:sz="4" w:space="0" w:color="auto"/>
            </w:tcBorders>
            <w:shd w:val="clear" w:color="auto" w:fill="92CC63" w:themeFill="accent4" w:themeFillTint="99"/>
          </w:tcPr>
          <w:p w14:paraId="22156EB1" w14:textId="4EB37496" w:rsidR="005C786F" w:rsidRPr="00061335" w:rsidRDefault="005C786F" w:rsidP="00E30A76">
            <w:pPr>
              <w:keepNext/>
              <w:spacing w:before="40" w:after="40" w:line="259" w:lineRule="auto"/>
              <w:jc w:val="center"/>
              <w:rPr>
                <w:bCs/>
                <w:sz w:val="22"/>
                <w:szCs w:val="22"/>
              </w:rPr>
            </w:pPr>
            <w:r>
              <w:rPr>
                <w:b/>
                <w:bCs/>
                <w:sz w:val="22"/>
                <w:szCs w:val="22"/>
              </w:rPr>
              <w:t>FTE’s (actual) as at 30 Sept 2020</w:t>
            </w:r>
          </w:p>
        </w:tc>
      </w:tr>
      <w:tr w:rsidR="005C786F" w:rsidRPr="00D45D71" w14:paraId="15D3DAFE" w14:textId="77777777" w:rsidTr="00C077B7">
        <w:tc>
          <w:tcPr>
            <w:tcW w:w="2331" w:type="dxa"/>
            <w:tcBorders>
              <w:left w:val="single" w:sz="4" w:space="0" w:color="auto"/>
              <w:bottom w:val="single" w:sz="4" w:space="0" w:color="auto"/>
            </w:tcBorders>
          </w:tcPr>
          <w:p w14:paraId="7381E499" w14:textId="77777777" w:rsidR="005C786F" w:rsidRPr="001B71EA" w:rsidRDefault="005C786F" w:rsidP="00C2531D">
            <w:pPr>
              <w:keepNext/>
              <w:spacing w:before="40" w:after="40" w:line="259" w:lineRule="auto"/>
              <w:rPr>
                <w:bCs/>
                <w:sz w:val="22"/>
                <w:szCs w:val="22"/>
              </w:rPr>
            </w:pPr>
            <w:r>
              <w:rPr>
                <w:bCs/>
                <w:sz w:val="22"/>
                <w:szCs w:val="22"/>
              </w:rPr>
              <w:t xml:space="preserve">2020/21 Resource Plan  </w:t>
            </w:r>
          </w:p>
        </w:tc>
        <w:tc>
          <w:tcPr>
            <w:tcW w:w="804" w:type="dxa"/>
            <w:tcBorders>
              <w:bottom w:val="single" w:sz="4" w:space="0" w:color="auto"/>
            </w:tcBorders>
          </w:tcPr>
          <w:p w14:paraId="592BB798" w14:textId="47647ECB" w:rsidR="005C786F" w:rsidRPr="00061335" w:rsidRDefault="005C786F" w:rsidP="00C2531D">
            <w:pPr>
              <w:keepNext/>
              <w:spacing w:before="40" w:after="40" w:line="259" w:lineRule="auto"/>
              <w:rPr>
                <w:bCs/>
                <w:sz w:val="22"/>
                <w:szCs w:val="22"/>
              </w:rPr>
            </w:pPr>
            <w:r>
              <w:rPr>
                <w:bCs/>
                <w:sz w:val="22"/>
                <w:szCs w:val="22"/>
              </w:rPr>
              <w:t xml:space="preserve">188 </w:t>
            </w:r>
            <w:r>
              <w:rPr>
                <w:bCs/>
                <w:sz w:val="22"/>
                <w:szCs w:val="22"/>
              </w:rPr>
              <w:br/>
            </w:r>
            <w:r w:rsidRPr="005C786F">
              <w:rPr>
                <w:bCs/>
                <w:sz w:val="16"/>
                <w:szCs w:val="16"/>
              </w:rPr>
              <w:t>(revised target)</w:t>
            </w:r>
          </w:p>
        </w:tc>
        <w:tc>
          <w:tcPr>
            <w:tcW w:w="1456" w:type="dxa"/>
            <w:tcBorders>
              <w:bottom w:val="single" w:sz="4" w:space="0" w:color="auto"/>
            </w:tcBorders>
          </w:tcPr>
          <w:p w14:paraId="20DEAB67" w14:textId="4AE3C086" w:rsidR="005C786F" w:rsidRPr="00593DDC" w:rsidRDefault="00A044A5" w:rsidP="00C2531D">
            <w:pPr>
              <w:keepNext/>
              <w:spacing w:before="40" w:after="40" w:line="259" w:lineRule="auto"/>
              <w:jc w:val="center"/>
            </w:pPr>
            <w:r>
              <w:t>176.47</w:t>
            </w:r>
          </w:p>
        </w:tc>
        <w:tc>
          <w:tcPr>
            <w:tcW w:w="1473" w:type="dxa"/>
            <w:tcBorders>
              <w:bottom w:val="single" w:sz="4" w:space="0" w:color="auto"/>
            </w:tcBorders>
          </w:tcPr>
          <w:p w14:paraId="332CAA1A" w14:textId="324875DF" w:rsidR="005C786F" w:rsidRDefault="005C786F" w:rsidP="00C2531D">
            <w:pPr>
              <w:keepNext/>
              <w:spacing w:before="40" w:after="40" w:line="259" w:lineRule="auto"/>
              <w:jc w:val="center"/>
            </w:pPr>
            <w:r w:rsidRPr="00593DDC">
              <w:t>186.5</w:t>
            </w:r>
          </w:p>
        </w:tc>
        <w:tc>
          <w:tcPr>
            <w:tcW w:w="1495" w:type="dxa"/>
            <w:tcBorders>
              <w:bottom w:val="single" w:sz="4" w:space="0" w:color="auto"/>
            </w:tcBorders>
          </w:tcPr>
          <w:p w14:paraId="7D2F1F5A" w14:textId="0987A0B3" w:rsidR="005C786F" w:rsidRDefault="005C786F" w:rsidP="00C2531D">
            <w:pPr>
              <w:keepNext/>
              <w:spacing w:before="40" w:after="40" w:line="259" w:lineRule="auto"/>
              <w:jc w:val="center"/>
              <w:rPr>
                <w:bCs/>
              </w:rPr>
            </w:pPr>
            <w:r>
              <w:t>177.3</w:t>
            </w:r>
          </w:p>
        </w:tc>
        <w:tc>
          <w:tcPr>
            <w:tcW w:w="1505" w:type="dxa"/>
            <w:tcBorders>
              <w:bottom w:val="single" w:sz="4" w:space="0" w:color="auto"/>
              <w:right w:val="single" w:sz="4" w:space="0" w:color="auto"/>
            </w:tcBorders>
          </w:tcPr>
          <w:p w14:paraId="13D2B76F" w14:textId="328A338A" w:rsidR="005C786F" w:rsidRPr="002D3AFF" w:rsidRDefault="005C786F" w:rsidP="00C2531D">
            <w:pPr>
              <w:keepNext/>
              <w:spacing w:before="40" w:after="40" w:line="259" w:lineRule="auto"/>
              <w:jc w:val="center"/>
              <w:rPr>
                <w:bCs/>
                <w:sz w:val="22"/>
                <w:szCs w:val="22"/>
              </w:rPr>
            </w:pPr>
            <w:r>
              <w:rPr>
                <w:bCs/>
              </w:rPr>
              <w:t>141.3</w:t>
            </w:r>
          </w:p>
        </w:tc>
      </w:tr>
      <w:tr w:rsidR="005C786F" w:rsidRPr="00D45D71" w14:paraId="63235C42" w14:textId="77777777" w:rsidTr="00C077B7">
        <w:tc>
          <w:tcPr>
            <w:tcW w:w="9064" w:type="dxa"/>
            <w:gridSpan w:val="6"/>
            <w:tcBorders>
              <w:left w:val="single" w:sz="4" w:space="0" w:color="auto"/>
              <w:bottom w:val="single" w:sz="4" w:space="0" w:color="auto"/>
              <w:right w:val="single" w:sz="4" w:space="0" w:color="auto"/>
            </w:tcBorders>
          </w:tcPr>
          <w:p w14:paraId="644FC41C" w14:textId="73BA31F4" w:rsidR="005C786F" w:rsidRDefault="005C786F" w:rsidP="00161191">
            <w:pPr>
              <w:keepNext/>
              <w:spacing w:before="40" w:after="40" w:line="259" w:lineRule="auto"/>
              <w:rPr>
                <w:bCs/>
              </w:rPr>
            </w:pPr>
            <w:r w:rsidRPr="00A5435C">
              <w:rPr>
                <w:sz w:val="22"/>
                <w:szCs w:val="22"/>
              </w:rPr>
              <w:t>Comments:</w:t>
            </w:r>
            <w:r w:rsidR="00E954C2">
              <w:rPr>
                <w:sz w:val="22"/>
                <w:szCs w:val="22"/>
              </w:rPr>
              <w:t xml:space="preserve">  </w:t>
            </w:r>
            <w:r w:rsidR="006B0A90">
              <w:rPr>
                <w:sz w:val="22"/>
                <w:szCs w:val="22"/>
              </w:rPr>
              <w:t>The majority of recruitment was paused during the quarter while we worked through the organisational reset. This has resulted in the revised target not being met.</w:t>
            </w:r>
            <w:r w:rsidR="00463D09">
              <w:t> </w:t>
            </w:r>
          </w:p>
        </w:tc>
      </w:tr>
    </w:tbl>
    <w:p w14:paraId="7CBAC3F4" w14:textId="562D87CF" w:rsidR="00BE67AB" w:rsidRDefault="00BE67AB" w:rsidP="00BE67AB">
      <w:pPr>
        <w:pStyle w:val="Heading4"/>
      </w:pPr>
      <w:bookmarkStart w:id="7" w:name="_Hlk46816182"/>
      <w:bookmarkEnd w:id="6"/>
      <w:r w:rsidRPr="0029224C">
        <w:t>Records</w:t>
      </w:r>
      <w:r>
        <w:t xml:space="preserve">  </w:t>
      </w:r>
      <w:bookmarkEnd w:id="5"/>
      <w:bookmarkEnd w:id="7"/>
    </w:p>
    <w:p w14:paraId="23FC617A" w14:textId="37AFC0D9" w:rsidR="00BE67AB" w:rsidRDefault="00BE67AB" w:rsidP="00AC3BB1">
      <w:pPr>
        <w:spacing w:before="0" w:after="0"/>
      </w:pPr>
      <w:r>
        <w:t>As a</w:t>
      </w:r>
      <w:r w:rsidRPr="001C58C1">
        <w:t xml:space="preserve"> public office under the Public R</w:t>
      </w:r>
      <w:r>
        <w:t>ecords Act 2005, t</w:t>
      </w:r>
      <w:r w:rsidRPr="001C58C1">
        <w:t>he Ro</w:t>
      </w:r>
      <w:r>
        <w:t>yal</w:t>
      </w:r>
      <w:r w:rsidRPr="001C58C1">
        <w:t xml:space="preserve"> Commission </w:t>
      </w:r>
      <w:r>
        <w:t xml:space="preserve">must take reasonable steps to ensure its records are kept and transferred in an efficient and timely manner from the Royal Commission to the Department </w:t>
      </w:r>
      <w:proofErr w:type="gramStart"/>
      <w:r>
        <w:t>at the conclusion of</w:t>
      </w:r>
      <w:proofErr w:type="gramEnd"/>
      <w:r>
        <w:t xml:space="preserve"> the Inquiry. </w:t>
      </w:r>
    </w:p>
    <w:p w14:paraId="6C8622CA" w14:textId="77777777" w:rsidR="00AC3BB1" w:rsidRDefault="00AC3BB1" w:rsidP="00AC3BB1">
      <w:pPr>
        <w:spacing w:before="0" w:after="0"/>
      </w:pPr>
    </w:p>
    <w:p w14:paraId="26DCA100" w14:textId="108CF31B" w:rsidR="00AC3BB1" w:rsidRDefault="00BE67AB" w:rsidP="00AC3BB1">
      <w:pPr>
        <w:spacing w:before="0" w:after="0"/>
      </w:pPr>
      <w:r>
        <w:t>This includes providing suitable documentation to accompany these records at transfer to ensure that the Department can comply with its obligations under the Official Information Act 1982 and the Public Records Act 2005 once the Royal Commission is closed.</w:t>
      </w:r>
    </w:p>
    <w:p w14:paraId="7F3C5DFB" w14:textId="77777777" w:rsidR="00AC3BB1" w:rsidRDefault="00AC3BB1" w:rsidP="00AC3BB1">
      <w:pPr>
        <w:spacing w:before="0" w:after="0"/>
      </w:pPr>
    </w:p>
    <w:tbl>
      <w:tblPr>
        <w:tblStyle w:val="DIATable"/>
        <w:tblW w:w="950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11"/>
        <w:gridCol w:w="1418"/>
        <w:gridCol w:w="1276"/>
      </w:tblGrid>
      <w:tr w:rsidR="00BE67AB" w:rsidRPr="00C4201F" w14:paraId="7A682FA9" w14:textId="77777777" w:rsidTr="00E76C95">
        <w:trPr>
          <w:cnfStyle w:val="100000000000" w:firstRow="1" w:lastRow="0" w:firstColumn="0" w:lastColumn="0" w:oddVBand="0" w:evenVBand="0" w:oddHBand="0" w:evenHBand="0" w:firstRowFirstColumn="0" w:firstRowLastColumn="0" w:lastRowFirstColumn="0" w:lastRowLastColumn="0"/>
        </w:trPr>
        <w:tc>
          <w:tcPr>
            <w:tcW w:w="6811" w:type="dxa"/>
            <w:tcBorders>
              <w:top w:val="single" w:sz="6" w:space="0" w:color="auto"/>
              <w:left w:val="single" w:sz="6" w:space="0" w:color="auto"/>
              <w:bottom w:val="single" w:sz="6" w:space="0" w:color="auto"/>
            </w:tcBorders>
            <w:shd w:val="clear" w:color="auto" w:fill="92D050"/>
          </w:tcPr>
          <w:p w14:paraId="04792482" w14:textId="77777777" w:rsidR="00BE67AB" w:rsidRPr="00C4201F" w:rsidRDefault="00BE67AB" w:rsidP="00C2531D">
            <w:pPr>
              <w:spacing w:before="40" w:after="40" w:line="259" w:lineRule="auto"/>
              <w:rPr>
                <w:bCs/>
                <w:color w:val="auto"/>
                <w:szCs w:val="22"/>
              </w:rPr>
            </w:pPr>
            <w:r w:rsidRPr="00C4201F">
              <w:rPr>
                <w:bCs/>
                <w:color w:val="auto"/>
                <w:szCs w:val="22"/>
              </w:rPr>
              <w:t xml:space="preserve">How we will monitor our performance </w:t>
            </w:r>
          </w:p>
        </w:tc>
        <w:tc>
          <w:tcPr>
            <w:tcW w:w="1418" w:type="dxa"/>
            <w:tcBorders>
              <w:top w:val="single" w:sz="6" w:space="0" w:color="auto"/>
              <w:bottom w:val="single" w:sz="6" w:space="0" w:color="auto"/>
            </w:tcBorders>
            <w:shd w:val="clear" w:color="auto" w:fill="92D050"/>
          </w:tcPr>
          <w:p w14:paraId="367A355E" w14:textId="77777777" w:rsidR="00BE67AB" w:rsidRPr="00C4201F" w:rsidRDefault="00BE67AB" w:rsidP="00C2531D">
            <w:pPr>
              <w:spacing w:before="40" w:after="40" w:line="259" w:lineRule="auto"/>
              <w:rPr>
                <w:bCs/>
                <w:color w:val="auto"/>
                <w:szCs w:val="22"/>
              </w:rPr>
            </w:pPr>
            <w:r w:rsidRPr="00C4201F">
              <w:rPr>
                <w:bCs/>
                <w:color w:val="auto"/>
                <w:szCs w:val="22"/>
              </w:rPr>
              <w:t>Target 20/21</w:t>
            </w:r>
          </w:p>
        </w:tc>
        <w:tc>
          <w:tcPr>
            <w:tcW w:w="1276" w:type="dxa"/>
            <w:tcBorders>
              <w:top w:val="single" w:sz="6" w:space="0" w:color="auto"/>
              <w:bottom w:val="single" w:sz="6" w:space="0" w:color="auto"/>
              <w:right w:val="single" w:sz="6" w:space="0" w:color="auto"/>
            </w:tcBorders>
            <w:shd w:val="clear" w:color="auto" w:fill="92D050"/>
          </w:tcPr>
          <w:p w14:paraId="095E1C16" w14:textId="278C5C62" w:rsidR="00BE67AB" w:rsidRPr="00C4201F" w:rsidRDefault="00BE67AB" w:rsidP="00A5435C">
            <w:pPr>
              <w:spacing w:before="40" w:after="40" w:line="259" w:lineRule="auto"/>
              <w:jc w:val="center"/>
              <w:rPr>
                <w:bCs/>
                <w:color w:val="auto"/>
                <w:szCs w:val="22"/>
              </w:rPr>
            </w:pPr>
            <w:r w:rsidRPr="00C4201F">
              <w:rPr>
                <w:bCs/>
                <w:color w:val="auto"/>
                <w:szCs w:val="22"/>
              </w:rPr>
              <w:t>Actual</w:t>
            </w:r>
          </w:p>
        </w:tc>
      </w:tr>
      <w:tr w:rsidR="00BE67AB" w14:paraId="103F9645" w14:textId="77777777" w:rsidTr="00E76C95">
        <w:tc>
          <w:tcPr>
            <w:tcW w:w="6811" w:type="dxa"/>
          </w:tcPr>
          <w:p w14:paraId="09F96507" w14:textId="03763066" w:rsidR="00BE67AB" w:rsidRPr="00061335" w:rsidRDefault="00BE67AB" w:rsidP="00AC3BB1">
            <w:pPr>
              <w:shd w:val="clear" w:color="auto" w:fill="FFFFFF" w:themeFill="background1"/>
              <w:spacing w:before="0" w:after="0"/>
              <w:contextualSpacing/>
              <w:rPr>
                <w:szCs w:val="22"/>
              </w:rPr>
            </w:pPr>
            <w:r w:rsidRPr="00061335">
              <w:rPr>
                <w:szCs w:val="22"/>
              </w:rPr>
              <w:t xml:space="preserve">Royal Commission will comply with any records audit processes                     </w:t>
            </w:r>
          </w:p>
          <w:p w14:paraId="3FA5701F" w14:textId="77777777" w:rsidR="00BE67AB" w:rsidRDefault="00BE67AB" w:rsidP="00AC3BB1">
            <w:pPr>
              <w:spacing w:before="0" w:after="0"/>
            </w:pPr>
            <w:r w:rsidRPr="00061335">
              <w:rPr>
                <w:szCs w:val="22"/>
              </w:rPr>
              <w:t xml:space="preserve">requested by the Department for all records held by the Royal Commission     </w:t>
            </w:r>
          </w:p>
        </w:tc>
        <w:tc>
          <w:tcPr>
            <w:tcW w:w="1418" w:type="dxa"/>
          </w:tcPr>
          <w:p w14:paraId="48CB200A" w14:textId="77777777" w:rsidR="00BE67AB" w:rsidRDefault="00BE67AB" w:rsidP="00C2531D">
            <w:pPr>
              <w:spacing w:before="40" w:after="40"/>
            </w:pPr>
            <w:r>
              <w:t>100%</w:t>
            </w:r>
          </w:p>
        </w:tc>
        <w:tc>
          <w:tcPr>
            <w:tcW w:w="1276" w:type="dxa"/>
            <w:tcBorders>
              <w:bottom w:val="single" w:sz="6" w:space="0" w:color="auto"/>
            </w:tcBorders>
          </w:tcPr>
          <w:p w14:paraId="3399041D" w14:textId="5F255F64" w:rsidR="00BE67AB" w:rsidRDefault="00A364B7" w:rsidP="00A5435C">
            <w:pPr>
              <w:spacing w:before="40" w:after="40"/>
              <w:jc w:val="center"/>
            </w:pPr>
            <w:r>
              <w:t>N/A</w:t>
            </w:r>
          </w:p>
        </w:tc>
      </w:tr>
      <w:tr w:rsidR="00E9549B" w14:paraId="3D6F2008" w14:textId="77777777" w:rsidTr="00E76C95">
        <w:tc>
          <w:tcPr>
            <w:tcW w:w="9505" w:type="dxa"/>
            <w:gridSpan w:val="3"/>
            <w:tcBorders>
              <w:bottom w:val="single" w:sz="6" w:space="0" w:color="auto"/>
              <w:right w:val="single" w:sz="6" w:space="0" w:color="auto"/>
            </w:tcBorders>
          </w:tcPr>
          <w:p w14:paraId="7A201FC1" w14:textId="2B49D57D" w:rsidR="00E9549B" w:rsidRDefault="00E9549B" w:rsidP="00C2531D">
            <w:pPr>
              <w:spacing w:before="40" w:after="40"/>
            </w:pPr>
            <w:r>
              <w:t xml:space="preserve">Comments: </w:t>
            </w:r>
            <w:r w:rsidR="00A364B7">
              <w:t>There were no requests for records audit processes in the fourth quarter.</w:t>
            </w:r>
          </w:p>
        </w:tc>
      </w:tr>
    </w:tbl>
    <w:p w14:paraId="6B2CA28D" w14:textId="77777777" w:rsidR="00BE67AB" w:rsidRDefault="00BE67AB" w:rsidP="00BE67AB">
      <w:pPr>
        <w:pStyle w:val="Heading4"/>
      </w:pPr>
      <w:r>
        <w:t xml:space="preserve">Royal Commission policies and procedures </w:t>
      </w:r>
    </w:p>
    <w:p w14:paraId="2A64FEA6" w14:textId="791956C3" w:rsidR="00BE67AB" w:rsidRDefault="00BE67AB" w:rsidP="00AC3BB1">
      <w:pPr>
        <w:pStyle w:val="NormalWeb"/>
        <w:spacing w:before="0" w:after="0"/>
        <w:rPr>
          <w:rFonts w:ascii="Calibri" w:eastAsia="Times New Roman" w:hAnsi="Calibri" w:cs="Calibri"/>
          <w:lang w:eastAsia="en-NZ"/>
        </w:rPr>
      </w:pPr>
      <w:r w:rsidRPr="00386FB6">
        <w:rPr>
          <w:rFonts w:ascii="Calibri" w:hAnsi="Calibri" w:cs="Calibri"/>
        </w:rPr>
        <w:t xml:space="preserve">Under its Terms of Reference, the Royal Commission is required to implement clear policies and methods of work. </w:t>
      </w:r>
      <w:r w:rsidRPr="00386FB6">
        <w:rPr>
          <w:rFonts w:ascii="Calibri" w:eastAsia="Times New Roman" w:hAnsi="Calibri" w:cs="Calibri"/>
          <w:lang w:eastAsia="en-NZ"/>
        </w:rPr>
        <w:t xml:space="preserve">While public service and departmental standards and policies apply by default, the Royal Commission </w:t>
      </w:r>
      <w:proofErr w:type="gramStart"/>
      <w:r w:rsidRPr="00386FB6">
        <w:rPr>
          <w:rFonts w:ascii="Calibri" w:eastAsia="Times New Roman" w:hAnsi="Calibri" w:cs="Calibri"/>
          <w:lang w:eastAsia="en-NZ"/>
        </w:rPr>
        <w:t>has the</w:t>
      </w:r>
      <w:r>
        <w:rPr>
          <w:rFonts w:ascii="Calibri" w:eastAsia="Times New Roman" w:hAnsi="Calibri" w:cs="Calibri"/>
          <w:lang w:eastAsia="en-NZ"/>
        </w:rPr>
        <w:t xml:space="preserve"> </w:t>
      </w:r>
      <w:r w:rsidRPr="00386FB6">
        <w:rPr>
          <w:rFonts w:ascii="Calibri" w:eastAsia="Times New Roman" w:hAnsi="Calibri" w:cs="Calibri"/>
          <w:lang w:eastAsia="en-NZ"/>
        </w:rPr>
        <w:t>ability to</w:t>
      </w:r>
      <w:proofErr w:type="gramEnd"/>
      <w:r w:rsidRPr="00386FB6">
        <w:rPr>
          <w:rFonts w:ascii="Calibri" w:eastAsia="Times New Roman" w:hAnsi="Calibri" w:cs="Calibri"/>
          <w:lang w:eastAsia="en-NZ"/>
        </w:rPr>
        <w:t xml:space="preserve"> develop bespoke policies and procedures to fit their unique circumstances.</w:t>
      </w:r>
      <w:r>
        <w:rPr>
          <w:rFonts w:ascii="Calibri" w:eastAsia="Times New Roman" w:hAnsi="Calibri" w:cs="Calibri"/>
          <w:lang w:eastAsia="en-NZ"/>
        </w:rPr>
        <w:t xml:space="preserve"> </w:t>
      </w:r>
    </w:p>
    <w:p w14:paraId="5C2267E8" w14:textId="77777777" w:rsidR="00AC3BB1" w:rsidRPr="005122CD" w:rsidRDefault="00AC3BB1" w:rsidP="00AC3BB1">
      <w:pPr>
        <w:pStyle w:val="NormalWeb"/>
        <w:spacing w:before="0" w:after="0"/>
        <w:rPr>
          <w:rFonts w:ascii="Calibri" w:eastAsia="Times New Roman" w:hAnsi="Calibri" w:cs="Calibri"/>
          <w:lang w:eastAsia="en-NZ"/>
        </w:rPr>
      </w:pPr>
    </w:p>
    <w:tbl>
      <w:tblPr>
        <w:tblStyle w:val="TableGrid"/>
        <w:tblW w:w="9490" w:type="dxa"/>
        <w:tblLayout w:type="fixed"/>
        <w:tblLook w:val="04A0" w:firstRow="1" w:lastRow="0" w:firstColumn="1" w:lastColumn="0" w:noHBand="0" w:noVBand="1"/>
      </w:tblPr>
      <w:tblGrid>
        <w:gridCol w:w="3820"/>
        <w:gridCol w:w="1415"/>
        <w:gridCol w:w="1136"/>
        <w:gridCol w:w="992"/>
        <w:gridCol w:w="992"/>
        <w:gridCol w:w="1135"/>
      </w:tblGrid>
      <w:tr w:rsidR="005C786F" w:rsidRPr="00D45D71" w14:paraId="698E8469" w14:textId="77777777" w:rsidTr="002C05DD">
        <w:tc>
          <w:tcPr>
            <w:tcW w:w="3820" w:type="dxa"/>
            <w:tcBorders>
              <w:top w:val="single" w:sz="6" w:space="0" w:color="auto"/>
              <w:left w:val="single" w:sz="6" w:space="0" w:color="auto"/>
            </w:tcBorders>
            <w:shd w:val="clear" w:color="auto" w:fill="92CC63" w:themeFill="accent4" w:themeFillTint="99"/>
          </w:tcPr>
          <w:p w14:paraId="7F89F0DB" w14:textId="77777777" w:rsidR="005C786F" w:rsidRPr="00A5435C" w:rsidRDefault="005C786F" w:rsidP="00C2531D">
            <w:pPr>
              <w:keepNext/>
              <w:spacing w:before="40" w:after="40" w:line="259" w:lineRule="auto"/>
              <w:rPr>
                <w:bCs/>
                <w:sz w:val="22"/>
                <w:szCs w:val="22"/>
              </w:rPr>
            </w:pPr>
            <w:r w:rsidRPr="00A5435C">
              <w:rPr>
                <w:b/>
                <w:bCs/>
                <w:sz w:val="22"/>
                <w:szCs w:val="22"/>
              </w:rPr>
              <w:lastRenderedPageBreak/>
              <w:t xml:space="preserve">How we will monitor our performance </w:t>
            </w:r>
            <w:r w:rsidRPr="00A5435C">
              <w:rPr>
                <w:b/>
                <w:bCs/>
                <w:sz w:val="22"/>
                <w:szCs w:val="22"/>
              </w:rPr>
              <w:tab/>
            </w:r>
          </w:p>
        </w:tc>
        <w:tc>
          <w:tcPr>
            <w:tcW w:w="1415" w:type="dxa"/>
            <w:tcBorders>
              <w:top w:val="single" w:sz="6" w:space="0" w:color="auto"/>
            </w:tcBorders>
            <w:shd w:val="clear" w:color="auto" w:fill="92CC63" w:themeFill="accent4" w:themeFillTint="99"/>
          </w:tcPr>
          <w:p w14:paraId="69E9F77E" w14:textId="77777777" w:rsidR="005C786F" w:rsidRPr="00A5435C" w:rsidRDefault="005C786F" w:rsidP="00C2531D">
            <w:pPr>
              <w:keepNext/>
              <w:spacing w:before="40" w:after="40" w:line="259" w:lineRule="auto"/>
              <w:rPr>
                <w:bCs/>
                <w:sz w:val="22"/>
                <w:szCs w:val="22"/>
              </w:rPr>
            </w:pPr>
            <w:r w:rsidRPr="00A5435C">
              <w:rPr>
                <w:b/>
                <w:bCs/>
                <w:sz w:val="22"/>
                <w:szCs w:val="22"/>
              </w:rPr>
              <w:t>Target 20/21</w:t>
            </w:r>
          </w:p>
        </w:tc>
        <w:tc>
          <w:tcPr>
            <w:tcW w:w="1136" w:type="dxa"/>
            <w:tcBorders>
              <w:top w:val="single" w:sz="6" w:space="0" w:color="auto"/>
            </w:tcBorders>
            <w:shd w:val="clear" w:color="auto" w:fill="92CC63" w:themeFill="accent4" w:themeFillTint="99"/>
          </w:tcPr>
          <w:p w14:paraId="27452FF5" w14:textId="317EA173" w:rsidR="005C786F" w:rsidRPr="00A5435C" w:rsidRDefault="002C05DD" w:rsidP="00E30A76">
            <w:pPr>
              <w:keepNext/>
              <w:spacing w:before="40" w:after="40" w:line="259" w:lineRule="auto"/>
              <w:jc w:val="center"/>
              <w:rPr>
                <w:b/>
                <w:bCs/>
                <w:sz w:val="22"/>
                <w:szCs w:val="22"/>
              </w:rPr>
            </w:pPr>
            <w:r>
              <w:rPr>
                <w:b/>
                <w:bCs/>
                <w:sz w:val="22"/>
                <w:szCs w:val="22"/>
              </w:rPr>
              <w:t>Apr-June 2021</w:t>
            </w:r>
          </w:p>
        </w:tc>
        <w:tc>
          <w:tcPr>
            <w:tcW w:w="992" w:type="dxa"/>
            <w:tcBorders>
              <w:top w:val="single" w:sz="6" w:space="0" w:color="auto"/>
            </w:tcBorders>
            <w:shd w:val="clear" w:color="auto" w:fill="92CC63" w:themeFill="accent4" w:themeFillTint="99"/>
          </w:tcPr>
          <w:p w14:paraId="6B18B4B3" w14:textId="718570CC" w:rsidR="005C786F" w:rsidRPr="00A5435C" w:rsidRDefault="005C786F" w:rsidP="00E30A76">
            <w:pPr>
              <w:keepNext/>
              <w:spacing w:before="40" w:after="40" w:line="259" w:lineRule="auto"/>
              <w:jc w:val="center"/>
              <w:rPr>
                <w:b/>
                <w:bCs/>
                <w:sz w:val="22"/>
                <w:szCs w:val="22"/>
              </w:rPr>
            </w:pPr>
            <w:r w:rsidRPr="00A5435C">
              <w:rPr>
                <w:b/>
                <w:bCs/>
                <w:sz w:val="22"/>
                <w:szCs w:val="22"/>
              </w:rPr>
              <w:t>Jan-Mar 2021</w:t>
            </w:r>
          </w:p>
        </w:tc>
        <w:tc>
          <w:tcPr>
            <w:tcW w:w="992" w:type="dxa"/>
            <w:tcBorders>
              <w:top w:val="single" w:sz="6" w:space="0" w:color="auto"/>
            </w:tcBorders>
            <w:shd w:val="clear" w:color="auto" w:fill="92CC63" w:themeFill="accent4" w:themeFillTint="99"/>
          </w:tcPr>
          <w:p w14:paraId="4FC89961" w14:textId="06035F4D" w:rsidR="005C786F" w:rsidRPr="00A5435C" w:rsidRDefault="005C786F" w:rsidP="00E30A76">
            <w:pPr>
              <w:keepNext/>
              <w:spacing w:before="40" w:after="40" w:line="259" w:lineRule="auto"/>
              <w:jc w:val="center"/>
              <w:rPr>
                <w:bCs/>
                <w:sz w:val="22"/>
                <w:szCs w:val="22"/>
              </w:rPr>
            </w:pPr>
            <w:r w:rsidRPr="00A5435C">
              <w:rPr>
                <w:b/>
                <w:bCs/>
                <w:sz w:val="22"/>
                <w:szCs w:val="22"/>
              </w:rPr>
              <w:t>Oct-Dec 2020</w:t>
            </w:r>
          </w:p>
        </w:tc>
        <w:tc>
          <w:tcPr>
            <w:tcW w:w="1135" w:type="dxa"/>
            <w:tcBorders>
              <w:top w:val="single" w:sz="6" w:space="0" w:color="auto"/>
              <w:bottom w:val="single" w:sz="4" w:space="0" w:color="auto"/>
              <w:right w:val="single" w:sz="6" w:space="0" w:color="auto"/>
            </w:tcBorders>
            <w:shd w:val="clear" w:color="auto" w:fill="92CC63" w:themeFill="accent4" w:themeFillTint="99"/>
          </w:tcPr>
          <w:p w14:paraId="5DB0FAB3" w14:textId="238644A8" w:rsidR="005C786F" w:rsidRPr="00A5435C" w:rsidRDefault="005C786F" w:rsidP="00E30A76">
            <w:pPr>
              <w:keepNext/>
              <w:spacing w:before="40" w:after="40" w:line="259" w:lineRule="auto"/>
              <w:jc w:val="center"/>
              <w:rPr>
                <w:bCs/>
                <w:sz w:val="22"/>
                <w:szCs w:val="22"/>
              </w:rPr>
            </w:pPr>
            <w:r w:rsidRPr="00A5435C">
              <w:rPr>
                <w:b/>
                <w:bCs/>
                <w:sz w:val="22"/>
                <w:szCs w:val="22"/>
              </w:rPr>
              <w:t>July-Sept 2020</w:t>
            </w:r>
          </w:p>
        </w:tc>
      </w:tr>
      <w:tr w:rsidR="005C786F" w:rsidRPr="00D45D71" w14:paraId="41E5C79B" w14:textId="77777777" w:rsidTr="002C05DD">
        <w:tc>
          <w:tcPr>
            <w:tcW w:w="3820" w:type="dxa"/>
            <w:tcBorders>
              <w:left w:val="single" w:sz="6" w:space="0" w:color="auto"/>
            </w:tcBorders>
          </w:tcPr>
          <w:p w14:paraId="1B7A92C1" w14:textId="77777777" w:rsidR="005C786F" w:rsidRPr="00A5435C" w:rsidRDefault="005C786F" w:rsidP="00C2531D">
            <w:pPr>
              <w:keepNext/>
              <w:spacing w:before="40" w:after="40" w:line="259" w:lineRule="auto"/>
              <w:rPr>
                <w:bCs/>
                <w:sz w:val="22"/>
                <w:szCs w:val="22"/>
              </w:rPr>
            </w:pPr>
            <w:r w:rsidRPr="00A5435C">
              <w:rPr>
                <w:rFonts w:eastAsia="Times New Roman" w:cs="Calibri"/>
                <w:sz w:val="22"/>
                <w:szCs w:val="22"/>
                <w:lang w:eastAsia="en-NZ"/>
              </w:rPr>
              <w:t>Number of instances of departure from public service and departmental policies</w:t>
            </w:r>
          </w:p>
        </w:tc>
        <w:tc>
          <w:tcPr>
            <w:tcW w:w="1415" w:type="dxa"/>
          </w:tcPr>
          <w:p w14:paraId="485CAB16" w14:textId="77777777" w:rsidR="005C786F" w:rsidRPr="00A5435C" w:rsidRDefault="005C786F" w:rsidP="00C2531D">
            <w:pPr>
              <w:keepNext/>
              <w:spacing w:before="40" w:after="40" w:line="259" w:lineRule="auto"/>
              <w:rPr>
                <w:bCs/>
                <w:sz w:val="22"/>
                <w:szCs w:val="22"/>
              </w:rPr>
            </w:pPr>
            <w:r w:rsidRPr="00A5435C">
              <w:rPr>
                <w:bCs/>
                <w:sz w:val="22"/>
                <w:szCs w:val="22"/>
              </w:rPr>
              <w:t>Not applicable</w:t>
            </w:r>
          </w:p>
        </w:tc>
        <w:tc>
          <w:tcPr>
            <w:tcW w:w="1136" w:type="dxa"/>
          </w:tcPr>
          <w:p w14:paraId="4D7D1637" w14:textId="3B1A300A" w:rsidR="005C786F" w:rsidRPr="00A5435C" w:rsidRDefault="00477EDD" w:rsidP="00C2531D">
            <w:pPr>
              <w:keepNext/>
              <w:spacing w:before="40" w:after="40" w:line="259" w:lineRule="auto"/>
              <w:jc w:val="center"/>
              <w:rPr>
                <w:bCs/>
                <w:sz w:val="22"/>
                <w:szCs w:val="22"/>
              </w:rPr>
            </w:pPr>
            <w:r>
              <w:rPr>
                <w:bCs/>
                <w:sz w:val="22"/>
                <w:szCs w:val="22"/>
              </w:rPr>
              <w:t>2</w:t>
            </w:r>
          </w:p>
        </w:tc>
        <w:tc>
          <w:tcPr>
            <w:tcW w:w="992" w:type="dxa"/>
          </w:tcPr>
          <w:p w14:paraId="004E2E03" w14:textId="244D8892" w:rsidR="005C786F" w:rsidRPr="00A5435C" w:rsidRDefault="005C786F" w:rsidP="00C2531D">
            <w:pPr>
              <w:keepNext/>
              <w:spacing w:before="40" w:after="40" w:line="259" w:lineRule="auto"/>
              <w:jc w:val="center"/>
              <w:rPr>
                <w:bCs/>
                <w:sz w:val="22"/>
                <w:szCs w:val="22"/>
              </w:rPr>
            </w:pPr>
            <w:r w:rsidRPr="00A5435C">
              <w:rPr>
                <w:bCs/>
                <w:sz w:val="22"/>
                <w:szCs w:val="22"/>
              </w:rPr>
              <w:t>2</w:t>
            </w:r>
          </w:p>
        </w:tc>
        <w:tc>
          <w:tcPr>
            <w:tcW w:w="992" w:type="dxa"/>
          </w:tcPr>
          <w:p w14:paraId="261C54F1" w14:textId="2DD93189" w:rsidR="005C786F" w:rsidRPr="00A5435C" w:rsidRDefault="005C786F" w:rsidP="00C2531D">
            <w:pPr>
              <w:keepNext/>
              <w:spacing w:before="40" w:after="40" w:line="259" w:lineRule="auto"/>
              <w:jc w:val="center"/>
              <w:rPr>
                <w:bCs/>
                <w:sz w:val="22"/>
                <w:szCs w:val="22"/>
              </w:rPr>
            </w:pPr>
            <w:r w:rsidRPr="00A5435C">
              <w:rPr>
                <w:bCs/>
                <w:sz w:val="22"/>
                <w:szCs w:val="22"/>
              </w:rPr>
              <w:t>1</w:t>
            </w:r>
          </w:p>
        </w:tc>
        <w:tc>
          <w:tcPr>
            <w:tcW w:w="1135" w:type="dxa"/>
            <w:tcBorders>
              <w:right w:val="single" w:sz="6" w:space="0" w:color="auto"/>
            </w:tcBorders>
          </w:tcPr>
          <w:p w14:paraId="27F3753F" w14:textId="4FCCAE64" w:rsidR="005C786F" w:rsidRPr="00A5435C" w:rsidRDefault="005C786F" w:rsidP="00C2531D">
            <w:pPr>
              <w:keepNext/>
              <w:spacing w:before="40" w:after="40" w:line="259" w:lineRule="auto"/>
              <w:jc w:val="center"/>
              <w:rPr>
                <w:bCs/>
                <w:sz w:val="22"/>
                <w:szCs w:val="22"/>
              </w:rPr>
            </w:pPr>
            <w:r w:rsidRPr="00A5435C">
              <w:rPr>
                <w:bCs/>
                <w:sz w:val="22"/>
                <w:szCs w:val="22"/>
              </w:rPr>
              <w:t>1</w:t>
            </w:r>
          </w:p>
        </w:tc>
      </w:tr>
      <w:tr w:rsidR="005C786F" w:rsidRPr="00D45D71" w14:paraId="5DF5A90F" w14:textId="77777777" w:rsidTr="007C66B7">
        <w:trPr>
          <w:trHeight w:val="2475"/>
        </w:trPr>
        <w:tc>
          <w:tcPr>
            <w:tcW w:w="9490" w:type="dxa"/>
            <w:gridSpan w:val="6"/>
            <w:tcBorders>
              <w:left w:val="single" w:sz="6" w:space="0" w:color="auto"/>
              <w:right w:val="single" w:sz="6" w:space="0" w:color="auto"/>
            </w:tcBorders>
          </w:tcPr>
          <w:p w14:paraId="03124CA3" w14:textId="524FA8A4" w:rsidR="00477EDD" w:rsidRPr="006B0A90" w:rsidRDefault="005C786F" w:rsidP="00AC3BB1">
            <w:pPr>
              <w:keepNext/>
              <w:spacing w:before="0" w:after="0"/>
              <w:rPr>
                <w:sz w:val="22"/>
                <w:szCs w:val="22"/>
                <w:lang w:eastAsia="en-NZ"/>
              </w:rPr>
            </w:pPr>
            <w:r w:rsidRPr="006B0A90">
              <w:rPr>
                <w:sz w:val="22"/>
                <w:szCs w:val="22"/>
              </w:rPr>
              <w:t xml:space="preserve">Comments: </w:t>
            </w:r>
            <w:r w:rsidR="00477EDD" w:rsidRPr="006B0A90">
              <w:rPr>
                <w:sz w:val="22"/>
                <w:szCs w:val="22"/>
                <w:lang w:eastAsia="en-NZ"/>
              </w:rPr>
              <w:t>There were two engagements in the fourth quarter that were considered departures from procurement policies.  The first was the urgent recruitment of a Senior Advisor Communications for 6 months to fill the gap left by resignations in the Comm</w:t>
            </w:r>
            <w:r w:rsidR="006B0A90">
              <w:rPr>
                <w:sz w:val="22"/>
                <w:szCs w:val="22"/>
                <w:lang w:eastAsia="en-NZ"/>
              </w:rPr>
              <w:t xml:space="preserve">unications </w:t>
            </w:r>
            <w:r w:rsidR="00477EDD" w:rsidRPr="006B0A90">
              <w:rPr>
                <w:sz w:val="22"/>
                <w:szCs w:val="22"/>
                <w:lang w:eastAsia="en-NZ"/>
              </w:rPr>
              <w:t>team.</w:t>
            </w:r>
          </w:p>
          <w:p w14:paraId="271EA6E7" w14:textId="05D26E90" w:rsidR="005C786F" w:rsidRPr="00A5435C" w:rsidRDefault="00477EDD" w:rsidP="00AC3BB1">
            <w:pPr>
              <w:keepNext/>
              <w:spacing w:before="0" w:after="0"/>
              <w:rPr>
                <w:bCs/>
                <w:sz w:val="22"/>
                <w:szCs w:val="22"/>
              </w:rPr>
            </w:pPr>
            <w:r w:rsidRPr="006B0A90">
              <w:rPr>
                <w:sz w:val="22"/>
                <w:szCs w:val="22"/>
              </w:rPr>
              <w:t>The second was the extension of a contract for provision of a range of security services – this arrangement was originally non-compliant as it was put in place in the early stages of the Inquiry without a competitive process. The provider is well imbedded in the organisation and to transition away from them would be problematic and costly with limited benefits to be achieved in the relatively short period of time left to the Inquiry</w:t>
            </w:r>
            <w:r w:rsidR="00CB5057" w:rsidRPr="006B0A90">
              <w:rPr>
                <w:sz w:val="22"/>
                <w:szCs w:val="22"/>
              </w:rPr>
              <w:t>.</w:t>
            </w:r>
            <w:r w:rsidR="00CB5057">
              <w:t xml:space="preserve"> </w:t>
            </w:r>
          </w:p>
        </w:tc>
      </w:tr>
    </w:tbl>
    <w:p w14:paraId="39993241" w14:textId="791B6E9D" w:rsidR="00BE67AB" w:rsidRDefault="00BE67AB" w:rsidP="00BE67AB">
      <w:pPr>
        <w:pStyle w:val="Heading4"/>
      </w:pPr>
      <w:bookmarkStart w:id="8" w:name="_Hlk76030460"/>
      <w:r>
        <w:t xml:space="preserve">An organisation fostering a culture of respect and inclusion </w:t>
      </w:r>
    </w:p>
    <w:p w14:paraId="4529C859" w14:textId="2EF90CDE" w:rsidR="00BE67AB" w:rsidRDefault="00BE67AB" w:rsidP="00AC3BB1">
      <w:pPr>
        <w:spacing w:before="0" w:after="0"/>
      </w:pPr>
      <w:r w:rsidRPr="000A3C7F">
        <w:t>We aim to be an organisation that fosters a culture of respect and inclusion and reflects and understands our communities and their needs. We aim to be an organisation where everyone feels respected and included regardless of gender, ethnicity, age, sexual orientation</w:t>
      </w:r>
      <w:r>
        <w:t>, the extent of disability</w:t>
      </w:r>
      <w:r w:rsidRPr="000A3C7F">
        <w:t xml:space="preserve"> and religious beliefs.</w:t>
      </w:r>
    </w:p>
    <w:p w14:paraId="236F7578" w14:textId="77777777" w:rsidR="00AC3BB1" w:rsidRDefault="00AC3BB1" w:rsidP="00AC3BB1">
      <w:pPr>
        <w:spacing w:before="0" w:after="0"/>
      </w:pPr>
    </w:p>
    <w:tbl>
      <w:tblPr>
        <w:tblStyle w:val="DIATable"/>
        <w:tblW w:w="94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63"/>
        <w:gridCol w:w="1541"/>
        <w:gridCol w:w="12"/>
        <w:gridCol w:w="1264"/>
        <w:gridCol w:w="12"/>
      </w:tblGrid>
      <w:tr w:rsidR="00BE67AB" w14:paraId="0E913039" w14:textId="77777777" w:rsidTr="002C05DD">
        <w:trPr>
          <w:gridAfter w:val="1"/>
          <w:cnfStyle w:val="100000000000" w:firstRow="1" w:lastRow="0" w:firstColumn="0" w:lastColumn="0" w:oddVBand="0" w:evenVBand="0" w:oddHBand="0" w:evenHBand="0" w:firstRowFirstColumn="0" w:firstRowLastColumn="0" w:lastRowFirstColumn="0" w:lastRowLastColumn="0"/>
          <w:wAfter w:w="12" w:type="dxa"/>
        </w:trPr>
        <w:tc>
          <w:tcPr>
            <w:tcW w:w="6663" w:type="dxa"/>
            <w:tcBorders>
              <w:top w:val="single" w:sz="6" w:space="0" w:color="auto"/>
              <w:left w:val="single" w:sz="6" w:space="0" w:color="auto"/>
              <w:bottom w:val="none" w:sz="0" w:space="0" w:color="auto"/>
              <w:right w:val="none" w:sz="0" w:space="0" w:color="auto"/>
              <w:tl2br w:val="none" w:sz="0" w:space="0" w:color="auto"/>
              <w:tr2bl w:val="none" w:sz="0" w:space="0" w:color="auto"/>
            </w:tcBorders>
            <w:shd w:val="clear" w:color="auto" w:fill="92D050"/>
          </w:tcPr>
          <w:p w14:paraId="6EF7C4E9" w14:textId="77777777" w:rsidR="00BE67AB" w:rsidRPr="00C4201F" w:rsidRDefault="00BE67AB" w:rsidP="00C2531D">
            <w:pPr>
              <w:spacing w:before="40" w:after="40" w:line="259" w:lineRule="auto"/>
              <w:rPr>
                <w:bCs/>
                <w:color w:val="auto"/>
                <w:szCs w:val="22"/>
              </w:rPr>
            </w:pPr>
            <w:r w:rsidRPr="00C4201F">
              <w:rPr>
                <w:bCs/>
                <w:color w:val="auto"/>
                <w:szCs w:val="22"/>
              </w:rPr>
              <w:t xml:space="preserve">How we will monitor our performance </w:t>
            </w:r>
          </w:p>
        </w:tc>
        <w:tc>
          <w:tcPr>
            <w:tcW w:w="1541" w:type="dxa"/>
            <w:tcBorders>
              <w:top w:val="single" w:sz="6"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324A22E5" w14:textId="77777777" w:rsidR="00BE67AB" w:rsidRPr="00C4201F" w:rsidRDefault="00BE67AB" w:rsidP="00C2531D">
            <w:pPr>
              <w:spacing w:before="40" w:after="40" w:line="259" w:lineRule="auto"/>
              <w:rPr>
                <w:bCs/>
                <w:color w:val="auto"/>
                <w:szCs w:val="22"/>
              </w:rPr>
            </w:pPr>
            <w:r w:rsidRPr="00C4201F">
              <w:rPr>
                <w:bCs/>
                <w:color w:val="auto"/>
                <w:szCs w:val="22"/>
              </w:rPr>
              <w:t>Target 20/21</w:t>
            </w:r>
          </w:p>
        </w:tc>
        <w:tc>
          <w:tcPr>
            <w:tcW w:w="1276" w:type="dxa"/>
            <w:gridSpan w:val="2"/>
            <w:tcBorders>
              <w:top w:val="single" w:sz="6" w:space="0" w:color="auto"/>
              <w:left w:val="none" w:sz="0" w:space="0" w:color="auto"/>
              <w:bottom w:val="none" w:sz="0" w:space="0" w:color="auto"/>
              <w:right w:val="single" w:sz="6" w:space="0" w:color="auto"/>
              <w:tl2br w:val="none" w:sz="0" w:space="0" w:color="auto"/>
              <w:tr2bl w:val="none" w:sz="0" w:space="0" w:color="auto"/>
            </w:tcBorders>
            <w:shd w:val="clear" w:color="auto" w:fill="92D050"/>
          </w:tcPr>
          <w:p w14:paraId="61297598" w14:textId="77777777" w:rsidR="00BE67AB" w:rsidRPr="00C4201F" w:rsidRDefault="00BE67AB" w:rsidP="00C2531D">
            <w:pPr>
              <w:spacing w:before="40" w:after="40" w:line="259" w:lineRule="auto"/>
              <w:rPr>
                <w:bCs/>
                <w:color w:val="auto"/>
                <w:szCs w:val="22"/>
              </w:rPr>
            </w:pPr>
            <w:r w:rsidRPr="00C4201F">
              <w:rPr>
                <w:bCs/>
                <w:color w:val="auto"/>
                <w:szCs w:val="22"/>
              </w:rPr>
              <w:t xml:space="preserve">Actual </w:t>
            </w:r>
          </w:p>
        </w:tc>
      </w:tr>
      <w:tr w:rsidR="00BE67AB" w14:paraId="33F9B9FE" w14:textId="77777777" w:rsidTr="002C05DD">
        <w:trPr>
          <w:gridAfter w:val="1"/>
          <w:wAfter w:w="12" w:type="dxa"/>
        </w:trPr>
        <w:tc>
          <w:tcPr>
            <w:tcW w:w="6663" w:type="dxa"/>
            <w:tcBorders>
              <w:left w:val="single" w:sz="6" w:space="0" w:color="auto"/>
            </w:tcBorders>
          </w:tcPr>
          <w:p w14:paraId="72F3B2AD" w14:textId="77777777" w:rsidR="00BE67AB" w:rsidRPr="00061335" w:rsidRDefault="00BE67AB" w:rsidP="00C2531D">
            <w:pPr>
              <w:shd w:val="clear" w:color="auto" w:fill="FFFFFF" w:themeFill="background1"/>
              <w:spacing w:before="40" w:after="40"/>
              <w:contextualSpacing/>
              <w:rPr>
                <w:szCs w:val="22"/>
              </w:rPr>
            </w:pPr>
            <w:r w:rsidRPr="00061335">
              <w:rPr>
                <w:szCs w:val="22"/>
              </w:rPr>
              <w:t>Staff report satisfaction with Royal Commission flexible</w:t>
            </w:r>
            <w:r>
              <w:rPr>
                <w:szCs w:val="22"/>
              </w:rPr>
              <w:t xml:space="preserve"> working                                  </w:t>
            </w:r>
          </w:p>
          <w:p w14:paraId="0A1A8AFD" w14:textId="77777777" w:rsidR="00BE67AB" w:rsidRDefault="00BE67AB" w:rsidP="00C2531D">
            <w:pPr>
              <w:spacing w:before="40" w:after="40"/>
            </w:pPr>
            <w:r w:rsidRPr="00061335">
              <w:rPr>
                <w:szCs w:val="22"/>
              </w:rPr>
              <w:t xml:space="preserve">processes and guidelines, survey bi-annually                                   </w:t>
            </w:r>
            <w:r>
              <w:rPr>
                <w:szCs w:val="22"/>
              </w:rPr>
              <w:t xml:space="preserve">       </w:t>
            </w:r>
          </w:p>
        </w:tc>
        <w:tc>
          <w:tcPr>
            <w:tcW w:w="1541" w:type="dxa"/>
          </w:tcPr>
          <w:p w14:paraId="3752D45E" w14:textId="77777777" w:rsidR="00BE67AB" w:rsidRDefault="00BE67AB" w:rsidP="00C2531D">
            <w:pPr>
              <w:spacing w:before="40" w:after="40"/>
            </w:pPr>
            <w:r>
              <w:t>90%</w:t>
            </w:r>
          </w:p>
        </w:tc>
        <w:tc>
          <w:tcPr>
            <w:tcW w:w="1276" w:type="dxa"/>
            <w:gridSpan w:val="2"/>
            <w:tcBorders>
              <w:bottom w:val="single" w:sz="6" w:space="0" w:color="auto"/>
              <w:right w:val="single" w:sz="6" w:space="0" w:color="auto"/>
            </w:tcBorders>
          </w:tcPr>
          <w:p w14:paraId="7FA9E66C" w14:textId="7210CE0A" w:rsidR="00BE67AB" w:rsidRDefault="00B0004C" w:rsidP="00C2531D">
            <w:pPr>
              <w:spacing w:before="40" w:after="40"/>
            </w:pPr>
            <w:r>
              <w:t>Met</w:t>
            </w:r>
          </w:p>
        </w:tc>
      </w:tr>
      <w:tr w:rsidR="00BE67AB" w14:paraId="2FED6F5A" w14:textId="77777777" w:rsidTr="006B0A90">
        <w:trPr>
          <w:trHeight w:val="665"/>
        </w:trPr>
        <w:tc>
          <w:tcPr>
            <w:tcW w:w="8216" w:type="dxa"/>
            <w:gridSpan w:val="3"/>
            <w:tcBorders>
              <w:left w:val="single" w:sz="6" w:space="0" w:color="auto"/>
              <w:bottom w:val="single" w:sz="6" w:space="0" w:color="auto"/>
              <w:right w:val="single" w:sz="6" w:space="0" w:color="auto"/>
            </w:tcBorders>
          </w:tcPr>
          <w:p w14:paraId="0E610963" w14:textId="1F30D3B5" w:rsidR="00BE67AB" w:rsidRDefault="002B52CC" w:rsidP="00AC3BB1">
            <w:pPr>
              <w:spacing w:before="0" w:after="0"/>
            </w:pPr>
            <w:r>
              <w:t xml:space="preserve">Comments: </w:t>
            </w:r>
            <w:r w:rsidR="00463D09">
              <w:t xml:space="preserve">No activity this quarter as we have delayed the </w:t>
            </w:r>
            <w:r w:rsidR="006B0A90">
              <w:t xml:space="preserve">second </w:t>
            </w:r>
            <w:r w:rsidR="00463D09">
              <w:t xml:space="preserve">pulse check survey for flexible working until </w:t>
            </w:r>
            <w:r w:rsidR="00E76C95">
              <w:t xml:space="preserve">after the organisational </w:t>
            </w:r>
            <w:r w:rsidR="00463D09">
              <w:t>reset.</w:t>
            </w:r>
            <w:r w:rsidR="006B0A90">
              <w:t xml:space="preserve"> The </w:t>
            </w:r>
            <w:r w:rsidR="00E76C95">
              <w:t xml:space="preserve">results for the first </w:t>
            </w:r>
            <w:r w:rsidR="006B0A90">
              <w:t>flexible working surveys</w:t>
            </w:r>
            <w:r w:rsidR="00E76C95">
              <w:t xml:space="preserve"> conducted in the second quarter, saw a </w:t>
            </w:r>
            <w:r w:rsidR="006B0A90">
              <w:t>60% response rate, of which 96% of respondents satisfied with the range of flexible working options offered. </w:t>
            </w:r>
          </w:p>
        </w:tc>
        <w:tc>
          <w:tcPr>
            <w:tcW w:w="1276" w:type="dxa"/>
            <w:gridSpan w:val="2"/>
            <w:tcBorders>
              <w:top w:val="single" w:sz="6" w:space="0" w:color="auto"/>
              <w:left w:val="single" w:sz="6" w:space="0" w:color="auto"/>
              <w:bottom w:val="nil"/>
              <w:right w:val="nil"/>
            </w:tcBorders>
          </w:tcPr>
          <w:p w14:paraId="3BB1D2B6" w14:textId="77777777" w:rsidR="00BE67AB" w:rsidRDefault="00BE67AB" w:rsidP="00AE3A8D"/>
        </w:tc>
      </w:tr>
      <w:bookmarkEnd w:id="8"/>
    </w:tbl>
    <w:p w14:paraId="42D5A45D" w14:textId="77777777" w:rsidR="00BE67AB" w:rsidRDefault="00BE67AB" w:rsidP="00BE67AB"/>
    <w:p w14:paraId="190F675E" w14:textId="77777777" w:rsidR="00BE67AB" w:rsidRDefault="00BE67AB" w:rsidP="00BE67AB">
      <w:pPr>
        <w:pStyle w:val="Heading2"/>
      </w:pPr>
      <w:bookmarkStart w:id="9" w:name="_Toc47682413"/>
      <w:bookmarkEnd w:id="4"/>
    </w:p>
    <w:p w14:paraId="7EFD43FB" w14:textId="77777777" w:rsidR="00BE67AB" w:rsidRDefault="00BE67AB" w:rsidP="00BE67AB">
      <w:pPr>
        <w:keepLines w:val="0"/>
        <w:rPr>
          <w:rFonts w:cs="Arial"/>
          <w:b/>
          <w:bCs/>
          <w:iCs/>
          <w:color w:val="1F546B"/>
          <w:sz w:val="36"/>
          <w:szCs w:val="28"/>
        </w:rPr>
      </w:pPr>
      <w:r>
        <w:rPr>
          <w:rFonts w:cs="Arial"/>
          <w:b/>
          <w:bCs/>
          <w:iCs/>
          <w:color w:val="1F546B"/>
          <w:sz w:val="36"/>
          <w:szCs w:val="28"/>
        </w:rPr>
        <w:br w:type="page"/>
      </w:r>
    </w:p>
    <w:p w14:paraId="432D39EF" w14:textId="77777777" w:rsidR="000930AF" w:rsidRPr="00392D0F" w:rsidRDefault="000930AF" w:rsidP="000930AF">
      <w:pPr>
        <w:pStyle w:val="Heading1"/>
      </w:pPr>
      <w:bookmarkStart w:id="10" w:name="_Toc44662316"/>
      <w:bookmarkStart w:id="11" w:name="_Toc54193237"/>
      <w:bookmarkStart w:id="12" w:name="_Hlk48122613"/>
      <w:bookmarkEnd w:id="9"/>
      <w:r w:rsidRPr="00392D0F">
        <w:lastRenderedPageBreak/>
        <w:t xml:space="preserve">Financial statements </w:t>
      </w:r>
    </w:p>
    <w:p w14:paraId="39144F54" w14:textId="77777777" w:rsidR="000930AF" w:rsidRPr="00522E85" w:rsidRDefault="000930AF" w:rsidP="000930AF">
      <w:pPr>
        <w:keepNext/>
        <w:spacing w:before="360" w:after="120"/>
        <w:contextualSpacing/>
        <w:outlineLvl w:val="3"/>
        <w:rPr>
          <w:b/>
          <w:bCs/>
          <w:i/>
          <w:color w:val="1F546B" w:themeColor="text2"/>
          <w:szCs w:val="28"/>
        </w:rPr>
      </w:pPr>
      <w:r w:rsidRPr="00522E85">
        <w:rPr>
          <w:b/>
          <w:bCs/>
          <w:i/>
          <w:color w:val="1F546B" w:themeColor="text2"/>
          <w:szCs w:val="28"/>
        </w:rPr>
        <w:t>Financial reporting requirements</w:t>
      </w:r>
      <w:r>
        <w:rPr>
          <w:b/>
          <w:bCs/>
          <w:i/>
          <w:color w:val="1F546B" w:themeColor="text2"/>
          <w:szCs w:val="28"/>
        </w:rPr>
        <w:br/>
      </w:r>
    </w:p>
    <w:p w14:paraId="5B342A9F" w14:textId="77777777" w:rsidR="000930AF" w:rsidRPr="00410501" w:rsidRDefault="000930AF" w:rsidP="00AC3BB1">
      <w:pPr>
        <w:keepNext/>
        <w:spacing w:before="0" w:after="0"/>
        <w:contextualSpacing/>
        <w:outlineLvl w:val="3"/>
        <w:rPr>
          <w:bCs/>
          <w:szCs w:val="28"/>
        </w:rPr>
      </w:pPr>
      <w:r w:rsidRPr="00410501">
        <w:rPr>
          <w:bCs/>
          <w:szCs w:val="28"/>
        </w:rPr>
        <w:t xml:space="preserve">The Royal Commission will submit a financial report to the Department quarterly, until the Royal Commission ends.  </w:t>
      </w:r>
    </w:p>
    <w:p w14:paraId="7B53FF2F" w14:textId="77777777" w:rsidR="000930AF" w:rsidRPr="00522E85" w:rsidRDefault="000930AF" w:rsidP="00AC3BB1">
      <w:pPr>
        <w:keepNext/>
        <w:spacing w:before="0" w:after="0"/>
        <w:contextualSpacing/>
        <w:outlineLvl w:val="3"/>
        <w:rPr>
          <w:bCs/>
          <w:color w:val="1F546B" w:themeColor="text2"/>
          <w:szCs w:val="28"/>
        </w:rPr>
      </w:pPr>
    </w:p>
    <w:p w14:paraId="60719DB7" w14:textId="77777777" w:rsidR="000930AF" w:rsidRDefault="000930AF" w:rsidP="00AC3BB1">
      <w:pPr>
        <w:spacing w:before="0" w:after="0"/>
      </w:pPr>
      <w:r>
        <w:t xml:space="preserve">The quarterly financial reports will be made publicly available by publication on the Royal Commission’s website and will be published no later than two calendar months after the end date of the report.  </w:t>
      </w:r>
      <w:r w:rsidRPr="00B930B5">
        <w:t>In addition to website publication, the Department will report on the Royal Commission’s expenditure in its Annual Report.</w:t>
      </w:r>
    </w:p>
    <w:p w14:paraId="01BC6833" w14:textId="61BF6403" w:rsidR="000930AF" w:rsidRDefault="000930AF" w:rsidP="000930AF">
      <w:pPr>
        <w:pStyle w:val="Heading2"/>
      </w:pPr>
      <w:r w:rsidRPr="00BE67AB">
        <w:t xml:space="preserve">Financial Summary </w:t>
      </w:r>
      <w:r>
        <w:t>for</w:t>
      </w:r>
      <w:r w:rsidRPr="00BE67AB">
        <w:t xml:space="preserve"> </w:t>
      </w:r>
      <w:r w:rsidR="002C05DD">
        <w:t xml:space="preserve">June </w:t>
      </w:r>
      <w:r w:rsidRPr="00BE67AB">
        <w:t>202</w:t>
      </w:r>
      <w:r>
        <w:t>1</w:t>
      </w:r>
    </w:p>
    <w:p w14:paraId="066CA62D" w14:textId="72C19216" w:rsidR="007F65CB" w:rsidRPr="007F65CB" w:rsidRDefault="007F65CB" w:rsidP="007F65CB">
      <w:r w:rsidRPr="007F65CB">
        <w:t>Q4 YTD Financials to June 2021 ($k)</w:t>
      </w:r>
    </w:p>
    <w:tbl>
      <w:tblPr>
        <w:tblW w:w="9010" w:type="dxa"/>
        <w:tblInd w:w="-10" w:type="dxa"/>
        <w:tblLook w:val="04A0" w:firstRow="1" w:lastRow="0" w:firstColumn="1" w:lastColumn="0" w:noHBand="0" w:noVBand="1"/>
      </w:tblPr>
      <w:tblGrid>
        <w:gridCol w:w="2410"/>
        <w:gridCol w:w="1580"/>
        <w:gridCol w:w="1580"/>
        <w:gridCol w:w="1580"/>
        <w:gridCol w:w="1860"/>
      </w:tblGrid>
      <w:tr w:rsidR="007F65CB" w:rsidRPr="007F65CB" w14:paraId="6716639F" w14:textId="77777777" w:rsidTr="008C25A6">
        <w:trPr>
          <w:trHeight w:val="1040"/>
        </w:trPr>
        <w:tc>
          <w:tcPr>
            <w:tcW w:w="2410" w:type="dxa"/>
            <w:tcBorders>
              <w:top w:val="single" w:sz="8" w:space="0" w:color="auto"/>
              <w:left w:val="single" w:sz="8" w:space="0" w:color="auto"/>
              <w:bottom w:val="single" w:sz="4" w:space="0" w:color="auto"/>
              <w:right w:val="single" w:sz="8" w:space="0" w:color="auto"/>
            </w:tcBorders>
            <w:shd w:val="clear" w:color="000000" w:fill="99CC00"/>
            <w:hideMark/>
          </w:tcPr>
          <w:bookmarkEnd w:id="10"/>
          <w:bookmarkEnd w:id="11"/>
          <w:bookmarkEnd w:id="12"/>
          <w:p w14:paraId="3C3A7DBA" w14:textId="77777777" w:rsidR="007F65CB" w:rsidRPr="008C25A6" w:rsidRDefault="007F65CB" w:rsidP="007F65CB">
            <w:pPr>
              <w:keepLines w:val="0"/>
              <w:spacing w:before="0" w:after="0"/>
              <w:rPr>
                <w:rFonts w:eastAsia="Times New Roman" w:cs="Calibri"/>
                <w:b/>
                <w:bCs/>
                <w:color w:val="000000"/>
                <w:sz w:val="22"/>
                <w:szCs w:val="22"/>
                <w:lang w:eastAsia="en-NZ"/>
              </w:rPr>
            </w:pPr>
            <w:r w:rsidRPr="008C25A6">
              <w:rPr>
                <w:rFonts w:eastAsia="Times New Roman" w:cs="Calibri"/>
                <w:b/>
                <w:bCs/>
                <w:color w:val="000000"/>
                <w:sz w:val="22"/>
                <w:szCs w:val="22"/>
                <w:lang w:eastAsia="en-NZ"/>
              </w:rPr>
              <w:t>Appropriation</w:t>
            </w:r>
          </w:p>
        </w:tc>
        <w:tc>
          <w:tcPr>
            <w:tcW w:w="1580" w:type="dxa"/>
            <w:tcBorders>
              <w:top w:val="single" w:sz="8" w:space="0" w:color="auto"/>
              <w:left w:val="nil"/>
              <w:bottom w:val="single" w:sz="4" w:space="0" w:color="auto"/>
              <w:right w:val="single" w:sz="4" w:space="0" w:color="auto"/>
            </w:tcBorders>
            <w:shd w:val="clear" w:color="000000" w:fill="99CC00"/>
            <w:hideMark/>
          </w:tcPr>
          <w:p w14:paraId="2AF6136D" w14:textId="77777777" w:rsidR="007F65CB" w:rsidRPr="008C25A6" w:rsidRDefault="007F65CB" w:rsidP="007F65CB">
            <w:pPr>
              <w:keepLines w:val="0"/>
              <w:spacing w:before="0" w:after="0"/>
              <w:jc w:val="center"/>
              <w:rPr>
                <w:rFonts w:eastAsia="Times New Roman" w:cs="Calibri"/>
                <w:b/>
                <w:bCs/>
                <w:color w:val="000000"/>
                <w:sz w:val="22"/>
                <w:szCs w:val="22"/>
                <w:lang w:eastAsia="en-NZ"/>
              </w:rPr>
            </w:pPr>
            <w:r w:rsidRPr="008C25A6">
              <w:rPr>
                <w:rFonts w:eastAsia="Times New Roman" w:cs="Calibri"/>
                <w:b/>
                <w:bCs/>
                <w:color w:val="000000"/>
                <w:sz w:val="22"/>
                <w:szCs w:val="22"/>
                <w:lang w:eastAsia="en-NZ"/>
              </w:rPr>
              <w:t>YTD Actual</w:t>
            </w:r>
          </w:p>
        </w:tc>
        <w:tc>
          <w:tcPr>
            <w:tcW w:w="1580" w:type="dxa"/>
            <w:tcBorders>
              <w:top w:val="single" w:sz="8" w:space="0" w:color="auto"/>
              <w:left w:val="nil"/>
              <w:bottom w:val="single" w:sz="4" w:space="0" w:color="auto"/>
              <w:right w:val="single" w:sz="4" w:space="0" w:color="auto"/>
            </w:tcBorders>
            <w:shd w:val="clear" w:color="000000" w:fill="99CC00"/>
            <w:hideMark/>
          </w:tcPr>
          <w:p w14:paraId="3D5401AF" w14:textId="77777777" w:rsidR="007F65CB" w:rsidRPr="008C25A6" w:rsidRDefault="007F65CB" w:rsidP="007F65CB">
            <w:pPr>
              <w:keepLines w:val="0"/>
              <w:spacing w:before="0" w:after="0"/>
              <w:jc w:val="center"/>
              <w:rPr>
                <w:rFonts w:eastAsia="Times New Roman" w:cs="Calibri"/>
                <w:b/>
                <w:bCs/>
                <w:color w:val="000000"/>
                <w:sz w:val="22"/>
                <w:szCs w:val="22"/>
                <w:lang w:eastAsia="en-NZ"/>
              </w:rPr>
            </w:pPr>
            <w:r w:rsidRPr="008C25A6">
              <w:rPr>
                <w:rFonts w:eastAsia="Times New Roman" w:cs="Calibri"/>
                <w:b/>
                <w:bCs/>
                <w:color w:val="000000"/>
                <w:sz w:val="22"/>
                <w:szCs w:val="22"/>
                <w:lang w:eastAsia="en-NZ"/>
              </w:rPr>
              <w:t>YTD Budget*</w:t>
            </w:r>
          </w:p>
        </w:tc>
        <w:tc>
          <w:tcPr>
            <w:tcW w:w="1580" w:type="dxa"/>
            <w:tcBorders>
              <w:top w:val="single" w:sz="8" w:space="0" w:color="auto"/>
              <w:left w:val="nil"/>
              <w:bottom w:val="single" w:sz="4" w:space="0" w:color="auto"/>
              <w:right w:val="single" w:sz="8" w:space="0" w:color="auto"/>
            </w:tcBorders>
            <w:shd w:val="clear" w:color="000000" w:fill="99CC00"/>
            <w:hideMark/>
          </w:tcPr>
          <w:p w14:paraId="5AD15C2E" w14:textId="77777777" w:rsidR="007F65CB" w:rsidRPr="008C25A6" w:rsidRDefault="007F65CB" w:rsidP="007F65CB">
            <w:pPr>
              <w:keepLines w:val="0"/>
              <w:spacing w:before="0" w:after="0"/>
              <w:jc w:val="center"/>
              <w:rPr>
                <w:rFonts w:eastAsia="Times New Roman" w:cs="Calibri"/>
                <w:b/>
                <w:bCs/>
                <w:color w:val="000000"/>
                <w:sz w:val="22"/>
                <w:szCs w:val="22"/>
                <w:lang w:eastAsia="en-NZ"/>
              </w:rPr>
            </w:pPr>
            <w:r w:rsidRPr="008C25A6">
              <w:rPr>
                <w:rFonts w:eastAsia="Times New Roman" w:cs="Calibri"/>
                <w:b/>
                <w:bCs/>
                <w:color w:val="000000"/>
                <w:sz w:val="22"/>
                <w:szCs w:val="22"/>
                <w:lang w:eastAsia="en-NZ"/>
              </w:rPr>
              <w:t>YTD Variance#</w:t>
            </w:r>
          </w:p>
        </w:tc>
        <w:tc>
          <w:tcPr>
            <w:tcW w:w="1860" w:type="dxa"/>
            <w:tcBorders>
              <w:top w:val="single" w:sz="8" w:space="0" w:color="auto"/>
              <w:left w:val="nil"/>
              <w:bottom w:val="single" w:sz="4" w:space="0" w:color="auto"/>
              <w:right w:val="single" w:sz="8" w:space="0" w:color="auto"/>
            </w:tcBorders>
            <w:shd w:val="clear" w:color="000000" w:fill="99CC00"/>
            <w:hideMark/>
          </w:tcPr>
          <w:p w14:paraId="2CCA4719" w14:textId="77777777" w:rsidR="007F65CB" w:rsidRPr="008C25A6" w:rsidRDefault="007F65CB" w:rsidP="007F65CB">
            <w:pPr>
              <w:keepLines w:val="0"/>
              <w:spacing w:before="0" w:after="0"/>
              <w:jc w:val="center"/>
              <w:rPr>
                <w:rFonts w:eastAsia="Times New Roman" w:cs="Calibri"/>
                <w:b/>
                <w:bCs/>
                <w:color w:val="000000"/>
                <w:sz w:val="22"/>
                <w:szCs w:val="22"/>
                <w:lang w:eastAsia="en-NZ"/>
              </w:rPr>
            </w:pPr>
            <w:r w:rsidRPr="008C25A6">
              <w:rPr>
                <w:rFonts w:eastAsia="Times New Roman" w:cs="Calibri"/>
                <w:b/>
                <w:bCs/>
                <w:color w:val="000000"/>
                <w:sz w:val="22"/>
                <w:szCs w:val="22"/>
                <w:lang w:eastAsia="en-NZ"/>
              </w:rPr>
              <w:t>Remaining Whole of Life Funding Out Years</w:t>
            </w:r>
          </w:p>
        </w:tc>
      </w:tr>
      <w:tr w:rsidR="007F65CB" w:rsidRPr="007F65CB" w14:paraId="7B7B89AC" w14:textId="77777777" w:rsidTr="008C25A6">
        <w:trPr>
          <w:trHeight w:val="221"/>
        </w:trPr>
        <w:tc>
          <w:tcPr>
            <w:tcW w:w="2410" w:type="dxa"/>
            <w:tcBorders>
              <w:top w:val="nil"/>
              <w:left w:val="single" w:sz="8" w:space="0" w:color="auto"/>
              <w:bottom w:val="single" w:sz="4" w:space="0" w:color="auto"/>
              <w:right w:val="single" w:sz="8" w:space="0" w:color="auto"/>
            </w:tcBorders>
            <w:shd w:val="clear" w:color="000000" w:fill="DAEECB"/>
            <w:hideMark/>
          </w:tcPr>
          <w:p w14:paraId="60F8A6EC" w14:textId="77777777" w:rsidR="007F65CB" w:rsidRPr="008C25A6" w:rsidRDefault="007F65CB" w:rsidP="00CB5057">
            <w:pPr>
              <w:keepLines w:val="0"/>
              <w:spacing w:before="0" w:after="0"/>
              <w:rPr>
                <w:rFonts w:eastAsia="Times New Roman" w:cs="Calibri"/>
                <w:color w:val="000000"/>
                <w:sz w:val="22"/>
                <w:szCs w:val="22"/>
                <w:lang w:eastAsia="en-NZ"/>
              </w:rPr>
            </w:pPr>
            <w:r w:rsidRPr="008C25A6">
              <w:rPr>
                <w:rFonts w:eastAsia="Times New Roman" w:cs="Calibri"/>
                <w:color w:val="000000"/>
                <w:sz w:val="22"/>
                <w:szCs w:val="22"/>
                <w:lang w:eastAsia="en-NZ"/>
              </w:rPr>
              <w:t>Departmental MYA</w:t>
            </w:r>
          </w:p>
        </w:tc>
        <w:tc>
          <w:tcPr>
            <w:tcW w:w="1580" w:type="dxa"/>
            <w:tcBorders>
              <w:top w:val="nil"/>
              <w:left w:val="nil"/>
              <w:bottom w:val="single" w:sz="4" w:space="0" w:color="auto"/>
              <w:right w:val="single" w:sz="4" w:space="0" w:color="auto"/>
            </w:tcBorders>
            <w:shd w:val="clear" w:color="000000" w:fill="DAEECB"/>
            <w:hideMark/>
          </w:tcPr>
          <w:p w14:paraId="3E28959C" w14:textId="6FE35F00" w:rsidR="007F65CB" w:rsidRPr="008C25A6" w:rsidRDefault="00CB5057" w:rsidP="00CB5057">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w:t>
            </w:r>
            <w:r w:rsidR="007F65CB" w:rsidRPr="008C25A6">
              <w:rPr>
                <w:rFonts w:eastAsia="Times New Roman" w:cs="Calibri"/>
                <w:color w:val="000000"/>
                <w:sz w:val="22"/>
                <w:szCs w:val="22"/>
                <w:lang w:eastAsia="en-NZ"/>
              </w:rPr>
              <w:t xml:space="preserve">40,303 </w:t>
            </w:r>
          </w:p>
        </w:tc>
        <w:tc>
          <w:tcPr>
            <w:tcW w:w="1580" w:type="dxa"/>
            <w:tcBorders>
              <w:top w:val="nil"/>
              <w:left w:val="nil"/>
              <w:bottom w:val="single" w:sz="4" w:space="0" w:color="auto"/>
              <w:right w:val="single" w:sz="4" w:space="0" w:color="auto"/>
            </w:tcBorders>
            <w:shd w:val="clear" w:color="000000" w:fill="DAEECB"/>
            <w:hideMark/>
          </w:tcPr>
          <w:p w14:paraId="36004E66" w14:textId="295104F2" w:rsidR="007F65CB" w:rsidRPr="008C25A6" w:rsidRDefault="00CB5057" w:rsidP="00CB5057">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w:t>
            </w:r>
            <w:r w:rsidR="007F65CB" w:rsidRPr="008C25A6">
              <w:rPr>
                <w:rFonts w:eastAsia="Times New Roman" w:cs="Calibri"/>
                <w:color w:val="000000"/>
                <w:sz w:val="22"/>
                <w:szCs w:val="22"/>
                <w:lang w:eastAsia="en-NZ"/>
              </w:rPr>
              <w:t xml:space="preserve">40,309 </w:t>
            </w:r>
          </w:p>
        </w:tc>
        <w:tc>
          <w:tcPr>
            <w:tcW w:w="1580" w:type="dxa"/>
            <w:tcBorders>
              <w:top w:val="nil"/>
              <w:left w:val="nil"/>
              <w:bottom w:val="single" w:sz="4" w:space="0" w:color="auto"/>
              <w:right w:val="single" w:sz="8" w:space="0" w:color="auto"/>
            </w:tcBorders>
            <w:shd w:val="clear" w:color="000000" w:fill="DAEECB"/>
            <w:hideMark/>
          </w:tcPr>
          <w:p w14:paraId="44CC78E5" w14:textId="56BE0F74" w:rsidR="007F65CB" w:rsidRPr="008C25A6" w:rsidRDefault="007F65CB" w:rsidP="00CB5057">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6 </w:t>
            </w:r>
          </w:p>
        </w:tc>
        <w:tc>
          <w:tcPr>
            <w:tcW w:w="1860" w:type="dxa"/>
            <w:tcBorders>
              <w:top w:val="nil"/>
              <w:left w:val="nil"/>
              <w:bottom w:val="single" w:sz="4" w:space="0" w:color="auto"/>
              <w:right w:val="single" w:sz="8" w:space="0" w:color="auto"/>
            </w:tcBorders>
            <w:shd w:val="clear" w:color="000000" w:fill="DAEECB"/>
            <w:hideMark/>
          </w:tcPr>
          <w:p w14:paraId="7346BADC" w14:textId="2FB85D1E" w:rsidR="007F65CB" w:rsidRPr="008C25A6" w:rsidRDefault="007F65CB" w:rsidP="00CB5057">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76,964 </w:t>
            </w:r>
          </w:p>
        </w:tc>
      </w:tr>
      <w:tr w:rsidR="007F65CB" w:rsidRPr="007F65CB" w14:paraId="4A4AFE97" w14:textId="77777777" w:rsidTr="008C25A6">
        <w:trPr>
          <w:trHeight w:val="270"/>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4D5D8026" w14:textId="77777777" w:rsidR="007F65CB" w:rsidRPr="008C25A6" w:rsidRDefault="007F65CB" w:rsidP="007F65CB">
            <w:pPr>
              <w:keepLines w:val="0"/>
              <w:spacing w:before="0" w:after="0"/>
              <w:rPr>
                <w:rFonts w:eastAsia="Times New Roman" w:cs="Calibri"/>
                <w:color w:val="000000"/>
                <w:sz w:val="22"/>
                <w:szCs w:val="22"/>
                <w:lang w:eastAsia="en-NZ"/>
              </w:rPr>
            </w:pPr>
            <w:r w:rsidRPr="008C25A6">
              <w:rPr>
                <w:rFonts w:eastAsia="Times New Roman" w:cs="Calibri"/>
                <w:color w:val="000000"/>
                <w:sz w:val="22"/>
                <w:szCs w:val="22"/>
                <w:lang w:eastAsia="en-NZ"/>
              </w:rPr>
              <w:t>Commissioner fees</w:t>
            </w:r>
          </w:p>
        </w:tc>
        <w:tc>
          <w:tcPr>
            <w:tcW w:w="1580" w:type="dxa"/>
            <w:tcBorders>
              <w:top w:val="nil"/>
              <w:left w:val="nil"/>
              <w:bottom w:val="single" w:sz="4" w:space="0" w:color="auto"/>
              <w:right w:val="single" w:sz="4" w:space="0" w:color="auto"/>
            </w:tcBorders>
            <w:shd w:val="clear" w:color="auto" w:fill="auto"/>
            <w:hideMark/>
          </w:tcPr>
          <w:p w14:paraId="170A049A" w14:textId="35F5B501"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1,250 </w:t>
            </w:r>
          </w:p>
        </w:tc>
        <w:tc>
          <w:tcPr>
            <w:tcW w:w="1580" w:type="dxa"/>
            <w:tcBorders>
              <w:top w:val="nil"/>
              <w:left w:val="nil"/>
              <w:bottom w:val="single" w:sz="4" w:space="0" w:color="auto"/>
              <w:right w:val="single" w:sz="4" w:space="0" w:color="auto"/>
            </w:tcBorders>
            <w:shd w:val="clear" w:color="auto" w:fill="auto"/>
            <w:hideMark/>
          </w:tcPr>
          <w:p w14:paraId="765F56C4" w14:textId="0CEC7668"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2,107 </w:t>
            </w:r>
          </w:p>
        </w:tc>
        <w:tc>
          <w:tcPr>
            <w:tcW w:w="1580" w:type="dxa"/>
            <w:tcBorders>
              <w:top w:val="nil"/>
              <w:left w:val="nil"/>
              <w:bottom w:val="single" w:sz="4" w:space="0" w:color="auto"/>
              <w:right w:val="single" w:sz="8" w:space="0" w:color="auto"/>
            </w:tcBorders>
            <w:shd w:val="clear" w:color="auto" w:fill="auto"/>
            <w:hideMark/>
          </w:tcPr>
          <w:p w14:paraId="4290A0B4" w14:textId="596D0E0A"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857 </w:t>
            </w:r>
          </w:p>
        </w:tc>
        <w:tc>
          <w:tcPr>
            <w:tcW w:w="1860" w:type="dxa"/>
            <w:tcBorders>
              <w:top w:val="nil"/>
              <w:left w:val="nil"/>
              <w:bottom w:val="single" w:sz="4" w:space="0" w:color="auto"/>
              <w:right w:val="single" w:sz="8" w:space="0" w:color="auto"/>
            </w:tcBorders>
            <w:shd w:val="clear" w:color="auto" w:fill="auto"/>
            <w:hideMark/>
          </w:tcPr>
          <w:p w14:paraId="4171EAD7" w14:textId="4622108F"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3,106 </w:t>
            </w:r>
          </w:p>
        </w:tc>
      </w:tr>
      <w:tr w:rsidR="007F65CB" w:rsidRPr="007F65CB" w14:paraId="0A4318C1" w14:textId="77777777" w:rsidTr="008C25A6">
        <w:trPr>
          <w:trHeight w:val="270"/>
        </w:trPr>
        <w:tc>
          <w:tcPr>
            <w:tcW w:w="2410" w:type="dxa"/>
            <w:tcBorders>
              <w:top w:val="nil"/>
              <w:left w:val="single" w:sz="8" w:space="0" w:color="auto"/>
              <w:bottom w:val="single" w:sz="4" w:space="0" w:color="auto"/>
              <w:right w:val="single" w:sz="8" w:space="0" w:color="auto"/>
            </w:tcBorders>
            <w:shd w:val="clear" w:color="000000" w:fill="DAEECB"/>
            <w:vAlign w:val="center"/>
            <w:hideMark/>
          </w:tcPr>
          <w:p w14:paraId="3A15C172" w14:textId="77777777" w:rsidR="007F65CB" w:rsidRPr="008C25A6" w:rsidRDefault="007F65CB" w:rsidP="007F65CB">
            <w:pPr>
              <w:keepLines w:val="0"/>
              <w:spacing w:before="0" w:after="0"/>
              <w:rPr>
                <w:rFonts w:eastAsia="Times New Roman" w:cs="Calibri"/>
                <w:color w:val="000000"/>
                <w:sz w:val="22"/>
                <w:szCs w:val="22"/>
                <w:lang w:eastAsia="en-NZ"/>
              </w:rPr>
            </w:pPr>
            <w:r w:rsidRPr="008C25A6">
              <w:rPr>
                <w:rFonts w:eastAsia="Times New Roman" w:cs="Calibri"/>
                <w:color w:val="000000"/>
                <w:sz w:val="22"/>
                <w:szCs w:val="22"/>
                <w:lang w:eastAsia="en-NZ"/>
              </w:rPr>
              <w:t>Legal Assistance</w:t>
            </w:r>
          </w:p>
        </w:tc>
        <w:tc>
          <w:tcPr>
            <w:tcW w:w="1580" w:type="dxa"/>
            <w:tcBorders>
              <w:top w:val="nil"/>
              <w:left w:val="nil"/>
              <w:bottom w:val="single" w:sz="4" w:space="0" w:color="auto"/>
              <w:right w:val="single" w:sz="4" w:space="0" w:color="auto"/>
            </w:tcBorders>
            <w:shd w:val="clear" w:color="000000" w:fill="DAEECB"/>
            <w:hideMark/>
          </w:tcPr>
          <w:p w14:paraId="6FAAFD0A" w14:textId="44312E54"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816 </w:t>
            </w:r>
          </w:p>
        </w:tc>
        <w:tc>
          <w:tcPr>
            <w:tcW w:w="1580" w:type="dxa"/>
            <w:tcBorders>
              <w:top w:val="nil"/>
              <w:left w:val="nil"/>
              <w:bottom w:val="single" w:sz="4" w:space="0" w:color="auto"/>
              <w:right w:val="single" w:sz="4" w:space="0" w:color="auto"/>
            </w:tcBorders>
            <w:shd w:val="clear" w:color="000000" w:fill="DAEECB"/>
            <w:hideMark/>
          </w:tcPr>
          <w:p w14:paraId="0DBA658B" w14:textId="3F82FAC8"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8,669 </w:t>
            </w:r>
          </w:p>
        </w:tc>
        <w:tc>
          <w:tcPr>
            <w:tcW w:w="1580" w:type="dxa"/>
            <w:tcBorders>
              <w:top w:val="nil"/>
              <w:left w:val="nil"/>
              <w:bottom w:val="single" w:sz="4" w:space="0" w:color="auto"/>
              <w:right w:val="single" w:sz="8" w:space="0" w:color="auto"/>
            </w:tcBorders>
            <w:shd w:val="clear" w:color="000000" w:fill="DAEECB"/>
            <w:hideMark/>
          </w:tcPr>
          <w:p w14:paraId="42D6312E" w14:textId="62F30219"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7,853 </w:t>
            </w:r>
          </w:p>
        </w:tc>
        <w:tc>
          <w:tcPr>
            <w:tcW w:w="1860" w:type="dxa"/>
            <w:tcBorders>
              <w:top w:val="nil"/>
              <w:left w:val="nil"/>
              <w:bottom w:val="single" w:sz="4" w:space="0" w:color="auto"/>
              <w:right w:val="single" w:sz="8" w:space="0" w:color="auto"/>
            </w:tcBorders>
            <w:shd w:val="clear" w:color="000000" w:fill="DAEECB"/>
            <w:hideMark/>
          </w:tcPr>
          <w:p w14:paraId="2E298795" w14:textId="14810BB6"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14,509 </w:t>
            </w:r>
          </w:p>
        </w:tc>
      </w:tr>
      <w:tr w:rsidR="007F65CB" w:rsidRPr="007F65CB" w14:paraId="46AA560C" w14:textId="77777777" w:rsidTr="008C25A6">
        <w:trPr>
          <w:trHeight w:val="270"/>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4B194B60" w14:textId="77777777" w:rsidR="007F65CB" w:rsidRPr="008C25A6" w:rsidRDefault="007F65CB" w:rsidP="007F65CB">
            <w:pPr>
              <w:keepLines w:val="0"/>
              <w:spacing w:before="0" w:after="0"/>
              <w:rPr>
                <w:rFonts w:eastAsia="Times New Roman" w:cs="Calibri"/>
                <w:color w:val="000000"/>
                <w:sz w:val="22"/>
                <w:szCs w:val="22"/>
                <w:lang w:eastAsia="en-NZ"/>
              </w:rPr>
            </w:pPr>
            <w:r w:rsidRPr="008C25A6">
              <w:rPr>
                <w:rFonts w:eastAsia="Times New Roman" w:cs="Calibri"/>
                <w:color w:val="000000"/>
                <w:sz w:val="22"/>
                <w:szCs w:val="22"/>
                <w:lang w:eastAsia="en-NZ"/>
              </w:rPr>
              <w:t>Counselling Assistance#</w:t>
            </w:r>
          </w:p>
        </w:tc>
        <w:tc>
          <w:tcPr>
            <w:tcW w:w="1580" w:type="dxa"/>
            <w:tcBorders>
              <w:top w:val="nil"/>
              <w:left w:val="nil"/>
              <w:bottom w:val="single" w:sz="4" w:space="0" w:color="auto"/>
              <w:right w:val="single" w:sz="4" w:space="0" w:color="auto"/>
            </w:tcBorders>
            <w:shd w:val="clear" w:color="auto" w:fill="auto"/>
            <w:hideMark/>
          </w:tcPr>
          <w:p w14:paraId="246D829C" w14:textId="72710C98"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1,167 </w:t>
            </w:r>
          </w:p>
        </w:tc>
        <w:tc>
          <w:tcPr>
            <w:tcW w:w="1580" w:type="dxa"/>
            <w:tcBorders>
              <w:top w:val="nil"/>
              <w:left w:val="nil"/>
              <w:bottom w:val="single" w:sz="4" w:space="0" w:color="auto"/>
              <w:right w:val="single" w:sz="4" w:space="0" w:color="auto"/>
            </w:tcBorders>
            <w:shd w:val="clear" w:color="auto" w:fill="auto"/>
            <w:hideMark/>
          </w:tcPr>
          <w:p w14:paraId="18386142" w14:textId="499A3EB7"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522 </w:t>
            </w:r>
          </w:p>
        </w:tc>
        <w:tc>
          <w:tcPr>
            <w:tcW w:w="1580" w:type="dxa"/>
            <w:tcBorders>
              <w:top w:val="nil"/>
              <w:left w:val="nil"/>
              <w:bottom w:val="single" w:sz="4" w:space="0" w:color="auto"/>
              <w:right w:val="single" w:sz="8" w:space="0" w:color="auto"/>
            </w:tcBorders>
            <w:shd w:val="clear" w:color="auto" w:fill="auto"/>
            <w:hideMark/>
          </w:tcPr>
          <w:p w14:paraId="45F7D880" w14:textId="77777777" w:rsidR="007F65CB" w:rsidRPr="008C25A6" w:rsidRDefault="007F65CB" w:rsidP="007F65CB">
            <w:pPr>
              <w:keepLines w:val="0"/>
              <w:spacing w:before="0" w:after="0"/>
              <w:jc w:val="right"/>
              <w:rPr>
                <w:rFonts w:eastAsia="Times New Roman" w:cs="Calibri"/>
                <w:color w:val="FF0000"/>
                <w:sz w:val="22"/>
                <w:szCs w:val="22"/>
                <w:lang w:eastAsia="en-NZ"/>
              </w:rPr>
            </w:pPr>
            <w:r w:rsidRPr="008C25A6">
              <w:rPr>
                <w:rFonts w:eastAsia="Times New Roman" w:cs="Calibri"/>
                <w:color w:val="FF0000"/>
                <w:sz w:val="22"/>
                <w:szCs w:val="22"/>
                <w:lang w:eastAsia="en-NZ"/>
              </w:rPr>
              <w:t>(645)</w:t>
            </w:r>
          </w:p>
        </w:tc>
        <w:tc>
          <w:tcPr>
            <w:tcW w:w="1860" w:type="dxa"/>
            <w:tcBorders>
              <w:top w:val="nil"/>
              <w:left w:val="nil"/>
              <w:bottom w:val="single" w:sz="4" w:space="0" w:color="auto"/>
              <w:right w:val="single" w:sz="8" w:space="0" w:color="auto"/>
            </w:tcBorders>
            <w:shd w:val="clear" w:color="auto" w:fill="auto"/>
            <w:hideMark/>
          </w:tcPr>
          <w:p w14:paraId="503970D4" w14:textId="6ABF3226"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 xml:space="preserve">                      3,493 </w:t>
            </w:r>
          </w:p>
        </w:tc>
      </w:tr>
      <w:tr w:rsidR="007F65CB" w:rsidRPr="007F65CB" w14:paraId="1615BA77" w14:textId="77777777" w:rsidTr="008C25A6">
        <w:trPr>
          <w:trHeight w:val="270"/>
        </w:trPr>
        <w:tc>
          <w:tcPr>
            <w:tcW w:w="2410" w:type="dxa"/>
            <w:tcBorders>
              <w:top w:val="nil"/>
              <w:left w:val="single" w:sz="8" w:space="0" w:color="auto"/>
              <w:bottom w:val="single" w:sz="4" w:space="0" w:color="auto"/>
              <w:right w:val="single" w:sz="8" w:space="0" w:color="auto"/>
            </w:tcBorders>
            <w:shd w:val="clear" w:color="000000" w:fill="DAEECB"/>
            <w:vAlign w:val="center"/>
            <w:hideMark/>
          </w:tcPr>
          <w:p w14:paraId="0FB3ECD2" w14:textId="77777777" w:rsidR="007F65CB" w:rsidRPr="008C25A6" w:rsidRDefault="007F65CB" w:rsidP="007F65CB">
            <w:pPr>
              <w:keepLines w:val="0"/>
              <w:spacing w:before="0" w:after="0"/>
              <w:rPr>
                <w:rFonts w:eastAsia="Times New Roman" w:cs="Calibri"/>
                <w:color w:val="000000"/>
                <w:sz w:val="22"/>
                <w:szCs w:val="22"/>
                <w:lang w:eastAsia="en-NZ"/>
              </w:rPr>
            </w:pPr>
            <w:r w:rsidRPr="008C25A6">
              <w:rPr>
                <w:rFonts w:eastAsia="Times New Roman" w:cs="Calibri"/>
                <w:color w:val="000000"/>
                <w:sz w:val="22"/>
                <w:szCs w:val="22"/>
                <w:lang w:eastAsia="en-NZ"/>
              </w:rPr>
              <w:t>Capital^</w:t>
            </w:r>
          </w:p>
        </w:tc>
        <w:tc>
          <w:tcPr>
            <w:tcW w:w="1580" w:type="dxa"/>
            <w:tcBorders>
              <w:top w:val="nil"/>
              <w:left w:val="nil"/>
              <w:bottom w:val="single" w:sz="4" w:space="0" w:color="auto"/>
              <w:right w:val="single" w:sz="4" w:space="0" w:color="auto"/>
            </w:tcBorders>
            <w:shd w:val="clear" w:color="000000" w:fill="DAEECB"/>
            <w:hideMark/>
          </w:tcPr>
          <w:p w14:paraId="0490DB55" w14:textId="77777777"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1,312</w:t>
            </w:r>
          </w:p>
        </w:tc>
        <w:tc>
          <w:tcPr>
            <w:tcW w:w="1580" w:type="dxa"/>
            <w:tcBorders>
              <w:top w:val="nil"/>
              <w:left w:val="nil"/>
              <w:bottom w:val="single" w:sz="4" w:space="0" w:color="auto"/>
              <w:right w:val="single" w:sz="4" w:space="0" w:color="auto"/>
            </w:tcBorders>
            <w:shd w:val="clear" w:color="000000" w:fill="DAEECB"/>
            <w:hideMark/>
          </w:tcPr>
          <w:p w14:paraId="443AF158" w14:textId="77777777"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1,154</w:t>
            </w:r>
          </w:p>
        </w:tc>
        <w:tc>
          <w:tcPr>
            <w:tcW w:w="1580" w:type="dxa"/>
            <w:tcBorders>
              <w:top w:val="nil"/>
              <w:left w:val="nil"/>
              <w:bottom w:val="single" w:sz="4" w:space="0" w:color="auto"/>
              <w:right w:val="single" w:sz="8" w:space="0" w:color="auto"/>
            </w:tcBorders>
            <w:shd w:val="clear" w:color="000000" w:fill="D8E4BC"/>
            <w:hideMark/>
          </w:tcPr>
          <w:p w14:paraId="24498FEB" w14:textId="77777777" w:rsidR="007F65CB" w:rsidRPr="008C25A6" w:rsidRDefault="007F65CB" w:rsidP="007F65CB">
            <w:pPr>
              <w:keepLines w:val="0"/>
              <w:spacing w:before="0" w:after="0"/>
              <w:jc w:val="right"/>
              <w:rPr>
                <w:rFonts w:eastAsia="Times New Roman" w:cs="Calibri"/>
                <w:color w:val="FF0000"/>
                <w:sz w:val="22"/>
                <w:szCs w:val="22"/>
                <w:lang w:eastAsia="en-NZ"/>
              </w:rPr>
            </w:pPr>
            <w:r w:rsidRPr="008C25A6">
              <w:rPr>
                <w:rFonts w:eastAsia="Times New Roman" w:cs="Calibri"/>
                <w:color w:val="FF0000"/>
                <w:sz w:val="22"/>
                <w:szCs w:val="22"/>
                <w:lang w:eastAsia="en-NZ"/>
              </w:rPr>
              <w:t>(158)</w:t>
            </w:r>
          </w:p>
        </w:tc>
        <w:tc>
          <w:tcPr>
            <w:tcW w:w="1860" w:type="dxa"/>
            <w:tcBorders>
              <w:top w:val="nil"/>
              <w:left w:val="nil"/>
              <w:bottom w:val="single" w:sz="4" w:space="0" w:color="auto"/>
              <w:right w:val="single" w:sz="8" w:space="0" w:color="auto"/>
            </w:tcBorders>
            <w:shd w:val="clear" w:color="000000" w:fill="DAEECB"/>
            <w:hideMark/>
          </w:tcPr>
          <w:p w14:paraId="3522E0C5" w14:textId="77777777" w:rsidR="007F65CB" w:rsidRPr="008C25A6" w:rsidRDefault="007F65CB" w:rsidP="007F65CB">
            <w:pPr>
              <w:keepLines w:val="0"/>
              <w:spacing w:before="0" w:after="0"/>
              <w:jc w:val="right"/>
              <w:rPr>
                <w:rFonts w:eastAsia="Times New Roman" w:cs="Calibri"/>
                <w:color w:val="000000"/>
                <w:sz w:val="22"/>
                <w:szCs w:val="22"/>
                <w:lang w:eastAsia="en-NZ"/>
              </w:rPr>
            </w:pPr>
            <w:r w:rsidRPr="008C25A6">
              <w:rPr>
                <w:rFonts w:eastAsia="Times New Roman" w:cs="Calibri"/>
                <w:color w:val="000000"/>
                <w:sz w:val="22"/>
                <w:szCs w:val="22"/>
                <w:lang w:eastAsia="en-NZ"/>
              </w:rPr>
              <w:t>390</w:t>
            </w:r>
          </w:p>
        </w:tc>
      </w:tr>
      <w:tr w:rsidR="007F65CB" w:rsidRPr="007F65CB" w14:paraId="1525AF36" w14:textId="77777777" w:rsidTr="008C25A6">
        <w:trPr>
          <w:trHeight w:val="270"/>
        </w:trPr>
        <w:tc>
          <w:tcPr>
            <w:tcW w:w="2410" w:type="dxa"/>
            <w:tcBorders>
              <w:top w:val="nil"/>
              <w:left w:val="single" w:sz="8" w:space="0" w:color="auto"/>
              <w:bottom w:val="single" w:sz="8" w:space="0" w:color="auto"/>
              <w:right w:val="single" w:sz="8" w:space="0" w:color="auto"/>
            </w:tcBorders>
            <w:shd w:val="clear" w:color="000000" w:fill="99CC00"/>
            <w:vAlign w:val="center"/>
            <w:hideMark/>
          </w:tcPr>
          <w:p w14:paraId="5A9F12FD" w14:textId="77777777" w:rsidR="007F65CB" w:rsidRPr="008C25A6" w:rsidRDefault="007F65CB" w:rsidP="007F65CB">
            <w:pPr>
              <w:keepLines w:val="0"/>
              <w:spacing w:before="0" w:after="0"/>
              <w:rPr>
                <w:rFonts w:eastAsia="Times New Roman" w:cs="Calibri"/>
                <w:b/>
                <w:bCs/>
                <w:color w:val="000000"/>
                <w:sz w:val="22"/>
                <w:szCs w:val="22"/>
                <w:lang w:eastAsia="en-NZ"/>
              </w:rPr>
            </w:pPr>
            <w:r w:rsidRPr="008C25A6">
              <w:rPr>
                <w:rFonts w:eastAsia="Times New Roman" w:cs="Calibri"/>
                <w:b/>
                <w:bCs/>
                <w:color w:val="000000"/>
                <w:sz w:val="22"/>
                <w:szCs w:val="22"/>
                <w:lang w:eastAsia="en-NZ"/>
              </w:rPr>
              <w:t>Total</w:t>
            </w:r>
          </w:p>
        </w:tc>
        <w:tc>
          <w:tcPr>
            <w:tcW w:w="1580" w:type="dxa"/>
            <w:tcBorders>
              <w:top w:val="nil"/>
              <w:left w:val="nil"/>
              <w:bottom w:val="single" w:sz="8" w:space="0" w:color="auto"/>
              <w:right w:val="single" w:sz="4" w:space="0" w:color="auto"/>
            </w:tcBorders>
            <w:shd w:val="clear" w:color="000000" w:fill="99CC00"/>
            <w:vAlign w:val="center"/>
            <w:hideMark/>
          </w:tcPr>
          <w:p w14:paraId="23A850C0" w14:textId="77777777" w:rsidR="007F65CB" w:rsidRPr="008C25A6" w:rsidRDefault="007F65CB" w:rsidP="007F65CB">
            <w:pPr>
              <w:keepLines w:val="0"/>
              <w:spacing w:before="0" w:after="0"/>
              <w:jc w:val="right"/>
              <w:rPr>
                <w:rFonts w:eastAsia="Times New Roman" w:cs="Calibri"/>
                <w:b/>
                <w:bCs/>
                <w:color w:val="000000"/>
                <w:sz w:val="22"/>
                <w:szCs w:val="22"/>
                <w:lang w:eastAsia="en-NZ"/>
              </w:rPr>
            </w:pPr>
            <w:r w:rsidRPr="008C25A6">
              <w:rPr>
                <w:rFonts w:eastAsia="Times New Roman" w:cs="Calibri"/>
                <w:b/>
                <w:bCs/>
                <w:color w:val="000000"/>
                <w:sz w:val="22"/>
                <w:szCs w:val="22"/>
                <w:lang w:eastAsia="en-NZ"/>
              </w:rPr>
              <w:t>44,848</w:t>
            </w:r>
          </w:p>
        </w:tc>
        <w:tc>
          <w:tcPr>
            <w:tcW w:w="1580" w:type="dxa"/>
            <w:tcBorders>
              <w:top w:val="nil"/>
              <w:left w:val="nil"/>
              <w:bottom w:val="single" w:sz="8" w:space="0" w:color="auto"/>
              <w:right w:val="single" w:sz="4" w:space="0" w:color="auto"/>
            </w:tcBorders>
            <w:shd w:val="clear" w:color="000000" w:fill="99CC00"/>
            <w:vAlign w:val="center"/>
            <w:hideMark/>
          </w:tcPr>
          <w:p w14:paraId="0B2E8B41" w14:textId="77777777" w:rsidR="007F65CB" w:rsidRPr="008C25A6" w:rsidRDefault="007F65CB" w:rsidP="007F65CB">
            <w:pPr>
              <w:keepLines w:val="0"/>
              <w:spacing w:before="0" w:after="0"/>
              <w:jc w:val="right"/>
              <w:rPr>
                <w:rFonts w:eastAsia="Times New Roman" w:cs="Calibri"/>
                <w:b/>
                <w:bCs/>
                <w:color w:val="000000"/>
                <w:sz w:val="22"/>
                <w:szCs w:val="22"/>
                <w:lang w:eastAsia="en-NZ"/>
              </w:rPr>
            </w:pPr>
            <w:r w:rsidRPr="008C25A6">
              <w:rPr>
                <w:rFonts w:eastAsia="Times New Roman" w:cs="Calibri"/>
                <w:b/>
                <w:bCs/>
                <w:color w:val="000000"/>
                <w:sz w:val="22"/>
                <w:szCs w:val="22"/>
                <w:lang w:eastAsia="en-NZ"/>
              </w:rPr>
              <w:t>52,761</w:t>
            </w:r>
          </w:p>
        </w:tc>
        <w:tc>
          <w:tcPr>
            <w:tcW w:w="1580" w:type="dxa"/>
            <w:tcBorders>
              <w:top w:val="nil"/>
              <w:left w:val="nil"/>
              <w:bottom w:val="single" w:sz="8" w:space="0" w:color="auto"/>
              <w:right w:val="single" w:sz="8" w:space="0" w:color="auto"/>
            </w:tcBorders>
            <w:shd w:val="clear" w:color="000000" w:fill="99CC00"/>
            <w:vAlign w:val="center"/>
            <w:hideMark/>
          </w:tcPr>
          <w:p w14:paraId="13A0E441" w14:textId="77777777" w:rsidR="007F65CB" w:rsidRPr="008C25A6" w:rsidRDefault="007F65CB" w:rsidP="007F65CB">
            <w:pPr>
              <w:keepLines w:val="0"/>
              <w:spacing w:before="0" w:after="0"/>
              <w:jc w:val="right"/>
              <w:rPr>
                <w:rFonts w:eastAsia="Times New Roman" w:cs="Calibri"/>
                <w:b/>
                <w:bCs/>
                <w:color w:val="000000"/>
                <w:sz w:val="22"/>
                <w:szCs w:val="22"/>
                <w:lang w:eastAsia="en-NZ"/>
              </w:rPr>
            </w:pPr>
            <w:r w:rsidRPr="008C25A6">
              <w:rPr>
                <w:rFonts w:eastAsia="Times New Roman" w:cs="Calibri"/>
                <w:b/>
                <w:bCs/>
                <w:color w:val="000000"/>
                <w:sz w:val="22"/>
                <w:szCs w:val="22"/>
                <w:lang w:eastAsia="en-NZ"/>
              </w:rPr>
              <w:t>7,913</w:t>
            </w:r>
          </w:p>
        </w:tc>
        <w:tc>
          <w:tcPr>
            <w:tcW w:w="1860" w:type="dxa"/>
            <w:tcBorders>
              <w:top w:val="nil"/>
              <w:left w:val="nil"/>
              <w:bottom w:val="single" w:sz="8" w:space="0" w:color="auto"/>
              <w:right w:val="single" w:sz="8" w:space="0" w:color="auto"/>
            </w:tcBorders>
            <w:shd w:val="clear" w:color="000000" w:fill="99CC00"/>
            <w:vAlign w:val="center"/>
            <w:hideMark/>
          </w:tcPr>
          <w:p w14:paraId="1E614877" w14:textId="77777777" w:rsidR="007F65CB" w:rsidRPr="008C25A6" w:rsidRDefault="007F65CB" w:rsidP="007F65CB">
            <w:pPr>
              <w:keepLines w:val="0"/>
              <w:spacing w:before="0" w:after="0"/>
              <w:jc w:val="right"/>
              <w:rPr>
                <w:rFonts w:eastAsia="Times New Roman" w:cs="Calibri"/>
                <w:b/>
                <w:bCs/>
                <w:color w:val="000000"/>
                <w:sz w:val="22"/>
                <w:szCs w:val="22"/>
                <w:lang w:eastAsia="en-NZ"/>
              </w:rPr>
            </w:pPr>
            <w:r w:rsidRPr="008C25A6">
              <w:rPr>
                <w:rFonts w:eastAsia="Times New Roman" w:cs="Calibri"/>
                <w:b/>
                <w:bCs/>
                <w:color w:val="000000"/>
                <w:sz w:val="22"/>
                <w:szCs w:val="22"/>
                <w:lang w:eastAsia="en-NZ"/>
              </w:rPr>
              <w:t>98,462</w:t>
            </w:r>
          </w:p>
        </w:tc>
      </w:tr>
    </w:tbl>
    <w:p w14:paraId="6E072C86" w14:textId="6DCFB2C9" w:rsidR="005E1C58" w:rsidRPr="005E1C58" w:rsidRDefault="005E1C58" w:rsidP="003F2939">
      <w:pPr>
        <w:tabs>
          <w:tab w:val="left" w:pos="3721"/>
        </w:tabs>
        <w:rPr>
          <w:rFonts w:ascii="Arial" w:hAnsi="Arial" w:cs="Arial"/>
          <w:i/>
          <w:sz w:val="18"/>
          <w:szCs w:val="18"/>
        </w:rPr>
      </w:pPr>
      <w:r w:rsidRPr="005E1C58">
        <w:rPr>
          <w:rFonts w:ascii="Arial" w:hAnsi="Arial" w:cs="Arial"/>
          <w:i/>
          <w:sz w:val="18"/>
          <w:szCs w:val="18"/>
        </w:rPr>
        <w:t xml:space="preserve">Table </w:t>
      </w:r>
      <w:r>
        <w:rPr>
          <w:rFonts w:ascii="Arial" w:hAnsi="Arial" w:cs="Arial"/>
          <w:i/>
          <w:sz w:val="18"/>
          <w:szCs w:val="18"/>
        </w:rPr>
        <w:t>A</w:t>
      </w:r>
      <w:r w:rsidRPr="005E1C58">
        <w:rPr>
          <w:rFonts w:ascii="Arial" w:hAnsi="Arial" w:cs="Arial"/>
          <w:i/>
          <w:sz w:val="18"/>
          <w:szCs w:val="18"/>
        </w:rPr>
        <w:t>ctuals are un-audited/totals may not sum due to rounding</w:t>
      </w:r>
    </w:p>
    <w:p w14:paraId="4AC2F38D" w14:textId="14286DC0" w:rsidR="000C2E09" w:rsidRPr="00CB5057" w:rsidRDefault="007F65CB" w:rsidP="003F2939">
      <w:pPr>
        <w:tabs>
          <w:tab w:val="left" w:pos="3721"/>
        </w:tabs>
        <w:rPr>
          <w:rFonts w:asciiTheme="minorHAnsi" w:hAnsiTheme="minorHAnsi" w:cstheme="minorHAnsi"/>
          <w:b/>
          <w:u w:val="single"/>
        </w:rPr>
      </w:pPr>
      <w:r w:rsidRPr="00CB5057">
        <w:rPr>
          <w:rFonts w:asciiTheme="minorHAnsi" w:hAnsiTheme="minorHAnsi" w:cstheme="minorHAnsi"/>
          <w:b/>
          <w:u w:val="single"/>
        </w:rPr>
        <w:t>Notes</w:t>
      </w:r>
    </w:p>
    <w:p w14:paraId="3197DD98" w14:textId="05FA47C0" w:rsidR="007F65CB" w:rsidRDefault="007F65CB" w:rsidP="00AC3BB1">
      <w:pPr>
        <w:tabs>
          <w:tab w:val="left" w:pos="3721"/>
        </w:tabs>
        <w:spacing w:before="0" w:after="0"/>
        <w:rPr>
          <w:rFonts w:asciiTheme="minorHAnsi" w:hAnsiTheme="minorHAnsi" w:cstheme="minorHAnsi"/>
        </w:rPr>
      </w:pPr>
      <w:r w:rsidRPr="00CB5057">
        <w:rPr>
          <w:rFonts w:asciiTheme="minorHAnsi" w:hAnsiTheme="minorHAnsi" w:cstheme="minorHAnsi"/>
        </w:rPr>
        <w:t xml:space="preserve"># Counselling Assistance Budget was reduced in December 2020 via a </w:t>
      </w:r>
      <w:r w:rsidR="008C25A6">
        <w:rPr>
          <w:rFonts w:asciiTheme="minorHAnsi" w:hAnsiTheme="minorHAnsi" w:cstheme="minorHAnsi"/>
        </w:rPr>
        <w:t>Fiscally Neutral Adjustment</w:t>
      </w:r>
      <w:r w:rsidRPr="00CB5057">
        <w:rPr>
          <w:rFonts w:asciiTheme="minorHAnsi" w:hAnsiTheme="minorHAnsi" w:cstheme="minorHAnsi"/>
        </w:rPr>
        <w:t xml:space="preserve"> to fund operating expenditure. Sufficient outyear funding is available to this MYA (Multi Year Appropriation) to fund the $645k overspend reflected in this table which will be </w:t>
      </w:r>
      <w:r w:rsidR="008C25A6">
        <w:rPr>
          <w:rFonts w:asciiTheme="minorHAnsi" w:hAnsiTheme="minorHAnsi" w:cstheme="minorHAnsi"/>
        </w:rPr>
        <w:t xml:space="preserve">appropriated reflected in </w:t>
      </w:r>
      <w:r w:rsidRPr="00CB5057">
        <w:rPr>
          <w:rFonts w:asciiTheme="minorHAnsi" w:hAnsiTheme="minorHAnsi" w:cstheme="minorHAnsi"/>
        </w:rPr>
        <w:t>Crown Financi</w:t>
      </w:r>
      <w:r w:rsidR="008C25A6">
        <w:rPr>
          <w:rFonts w:asciiTheme="minorHAnsi" w:hAnsiTheme="minorHAnsi" w:cstheme="minorHAnsi"/>
        </w:rPr>
        <w:t>al Information System</w:t>
      </w:r>
      <w:r w:rsidRPr="00CB5057">
        <w:rPr>
          <w:rFonts w:asciiTheme="minorHAnsi" w:hAnsiTheme="minorHAnsi" w:cstheme="minorHAnsi"/>
        </w:rPr>
        <w:t>.</w:t>
      </w:r>
    </w:p>
    <w:p w14:paraId="6D9F4B57" w14:textId="77777777" w:rsidR="00AC3BB1" w:rsidRPr="00CB5057" w:rsidRDefault="00AC3BB1" w:rsidP="00AC3BB1">
      <w:pPr>
        <w:tabs>
          <w:tab w:val="left" w:pos="3721"/>
        </w:tabs>
        <w:spacing w:before="0" w:after="0"/>
        <w:rPr>
          <w:rFonts w:asciiTheme="minorHAnsi" w:hAnsiTheme="minorHAnsi" w:cstheme="minorHAnsi"/>
        </w:rPr>
      </w:pPr>
    </w:p>
    <w:p w14:paraId="7F662FA2" w14:textId="131A4A76" w:rsidR="007F65CB" w:rsidRDefault="007F65CB" w:rsidP="00AC3BB1">
      <w:pPr>
        <w:tabs>
          <w:tab w:val="left" w:pos="3721"/>
        </w:tabs>
        <w:spacing w:before="0" w:after="0"/>
        <w:rPr>
          <w:rFonts w:asciiTheme="minorHAnsi" w:hAnsiTheme="minorHAnsi" w:cstheme="minorHAnsi"/>
        </w:rPr>
      </w:pPr>
      <w:r w:rsidRPr="00CB5057">
        <w:rPr>
          <w:rFonts w:asciiTheme="minorHAnsi" w:hAnsiTheme="minorHAnsi" w:cstheme="minorHAnsi"/>
        </w:rPr>
        <w:t>^ Capital for the R</w:t>
      </w:r>
      <w:r w:rsidR="008C25A6">
        <w:rPr>
          <w:rFonts w:asciiTheme="minorHAnsi" w:hAnsiTheme="minorHAnsi" w:cstheme="minorHAnsi"/>
        </w:rPr>
        <w:t xml:space="preserve">oyal Commission </w:t>
      </w:r>
      <w:r w:rsidRPr="00CB5057">
        <w:rPr>
          <w:rFonts w:asciiTheme="minorHAnsi" w:hAnsiTheme="minorHAnsi" w:cstheme="minorHAnsi"/>
        </w:rPr>
        <w:t>is managed within the Department’s broader annual capital appropriation.  Small variances are, therefore, not material.</w:t>
      </w:r>
    </w:p>
    <w:p w14:paraId="72A73C19" w14:textId="77777777" w:rsidR="00AC3BB1" w:rsidRPr="00CB5057" w:rsidRDefault="00AC3BB1" w:rsidP="00AC3BB1">
      <w:pPr>
        <w:tabs>
          <w:tab w:val="left" w:pos="3721"/>
        </w:tabs>
        <w:spacing w:before="0" w:after="0"/>
        <w:rPr>
          <w:rFonts w:asciiTheme="minorHAnsi" w:hAnsiTheme="minorHAnsi" w:cstheme="minorHAnsi"/>
        </w:rPr>
      </w:pPr>
    </w:p>
    <w:p w14:paraId="00B5DA22" w14:textId="5067567C" w:rsidR="007F65CB" w:rsidRPr="00CB5057" w:rsidRDefault="007F65CB" w:rsidP="00AC3BB1">
      <w:pPr>
        <w:tabs>
          <w:tab w:val="left" w:pos="3721"/>
        </w:tabs>
        <w:spacing w:before="0" w:after="0"/>
        <w:rPr>
          <w:rFonts w:asciiTheme="minorHAnsi" w:hAnsiTheme="minorHAnsi" w:cstheme="minorHAnsi"/>
        </w:rPr>
      </w:pPr>
      <w:r w:rsidRPr="00CB5057">
        <w:rPr>
          <w:rFonts w:asciiTheme="minorHAnsi" w:hAnsiTheme="minorHAnsi" w:cstheme="minorHAnsi"/>
        </w:rPr>
        <w:t>* YTD Budget in tables reflect the most recent changes to appropriations from Budget 2021.</w:t>
      </w:r>
    </w:p>
    <w:sectPr w:rsidR="007F65CB" w:rsidRPr="00CB5057" w:rsidSect="00B27F2D">
      <w:headerReference w:type="even" r:id="rId13"/>
      <w:headerReference w:type="default" r:id="rId14"/>
      <w:footerReference w:type="even" r:id="rId15"/>
      <w:footerReference w:type="default" r:id="rId16"/>
      <w:headerReference w:type="first" r:id="rId17"/>
      <w:footerReference w:type="first" r:id="rId18"/>
      <w:pgSz w:w="11907" w:h="16840" w:code="9"/>
      <w:pgMar w:top="851" w:right="1275" w:bottom="851" w:left="1559"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8758" w14:textId="77777777" w:rsidR="00FA56AF" w:rsidRDefault="00FA56AF">
      <w:r>
        <w:separator/>
      </w:r>
    </w:p>
    <w:p w14:paraId="607B279D" w14:textId="77777777" w:rsidR="00FA56AF" w:rsidRDefault="00FA56AF"/>
    <w:p w14:paraId="6FABA5DF" w14:textId="77777777" w:rsidR="00FA56AF" w:rsidRDefault="00FA56AF"/>
  </w:endnote>
  <w:endnote w:type="continuationSeparator" w:id="0">
    <w:p w14:paraId="5F5B47E2" w14:textId="77777777" w:rsidR="00FA56AF" w:rsidRDefault="00FA56AF">
      <w:r>
        <w:continuationSeparator/>
      </w:r>
    </w:p>
    <w:p w14:paraId="4BE18D35" w14:textId="77777777" w:rsidR="00FA56AF" w:rsidRDefault="00FA56AF"/>
    <w:p w14:paraId="26F2F782" w14:textId="77777777" w:rsidR="00FA56AF" w:rsidRDefault="00FA5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0D94" w14:textId="77777777" w:rsidR="00983C55" w:rsidRDefault="00983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C975" w14:textId="77777777" w:rsidR="00FA56AF" w:rsidRDefault="00FA56AF"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0C12" w14:textId="77777777" w:rsidR="00983C55" w:rsidRDefault="0098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37F4" w14:textId="77777777" w:rsidR="00FA56AF" w:rsidRDefault="00FA56AF" w:rsidP="00FB1990">
      <w:pPr>
        <w:pStyle w:val="Spacer"/>
      </w:pPr>
      <w:r>
        <w:separator/>
      </w:r>
    </w:p>
    <w:p w14:paraId="78C76148" w14:textId="77777777" w:rsidR="00FA56AF" w:rsidRDefault="00FA56AF" w:rsidP="00FB1990">
      <w:pPr>
        <w:pStyle w:val="Spacer"/>
      </w:pPr>
    </w:p>
  </w:footnote>
  <w:footnote w:type="continuationSeparator" w:id="0">
    <w:p w14:paraId="5EACDFB8" w14:textId="77777777" w:rsidR="00FA56AF" w:rsidRDefault="00FA56AF">
      <w:r>
        <w:continuationSeparator/>
      </w:r>
    </w:p>
    <w:p w14:paraId="290F8364" w14:textId="77777777" w:rsidR="00FA56AF" w:rsidRDefault="00FA56AF"/>
    <w:p w14:paraId="53305C3C" w14:textId="77777777" w:rsidR="00FA56AF" w:rsidRDefault="00FA56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6548" w14:textId="77777777" w:rsidR="00983C55" w:rsidRDefault="00983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173A" w14:textId="77777777" w:rsidR="00983C55" w:rsidRDefault="0098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3CED" w14:textId="5A4CB265" w:rsidR="00983C55" w:rsidRDefault="0098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DB6AE1"/>
    <w:multiLevelType w:val="hybridMultilevel"/>
    <w:tmpl w:val="1D98D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6B03DB9"/>
    <w:multiLevelType w:val="hybridMultilevel"/>
    <w:tmpl w:val="4A30821C"/>
    <w:lvl w:ilvl="0" w:tplc="14090001">
      <w:start w:val="1"/>
      <w:numFmt w:val="bullet"/>
      <w:lvlText w:val=""/>
      <w:lvlJc w:val="left"/>
      <w:pPr>
        <w:ind w:left="6456" w:hanging="360"/>
      </w:pPr>
      <w:rPr>
        <w:rFonts w:ascii="Symbol" w:hAnsi="Symbol" w:hint="default"/>
      </w:rPr>
    </w:lvl>
    <w:lvl w:ilvl="1" w:tplc="14090003" w:tentative="1">
      <w:start w:val="1"/>
      <w:numFmt w:val="bullet"/>
      <w:lvlText w:val="o"/>
      <w:lvlJc w:val="left"/>
      <w:pPr>
        <w:ind w:left="7176" w:hanging="360"/>
      </w:pPr>
      <w:rPr>
        <w:rFonts w:ascii="Courier New" w:hAnsi="Courier New" w:cs="Courier New" w:hint="default"/>
      </w:rPr>
    </w:lvl>
    <w:lvl w:ilvl="2" w:tplc="14090005" w:tentative="1">
      <w:start w:val="1"/>
      <w:numFmt w:val="bullet"/>
      <w:lvlText w:val=""/>
      <w:lvlJc w:val="left"/>
      <w:pPr>
        <w:ind w:left="7896" w:hanging="360"/>
      </w:pPr>
      <w:rPr>
        <w:rFonts w:ascii="Wingdings" w:hAnsi="Wingdings" w:hint="default"/>
      </w:rPr>
    </w:lvl>
    <w:lvl w:ilvl="3" w:tplc="14090001" w:tentative="1">
      <w:start w:val="1"/>
      <w:numFmt w:val="bullet"/>
      <w:lvlText w:val=""/>
      <w:lvlJc w:val="left"/>
      <w:pPr>
        <w:ind w:left="8616" w:hanging="360"/>
      </w:pPr>
      <w:rPr>
        <w:rFonts w:ascii="Symbol" w:hAnsi="Symbol" w:hint="default"/>
      </w:rPr>
    </w:lvl>
    <w:lvl w:ilvl="4" w:tplc="14090003" w:tentative="1">
      <w:start w:val="1"/>
      <w:numFmt w:val="bullet"/>
      <w:lvlText w:val="o"/>
      <w:lvlJc w:val="left"/>
      <w:pPr>
        <w:ind w:left="9336" w:hanging="360"/>
      </w:pPr>
      <w:rPr>
        <w:rFonts w:ascii="Courier New" w:hAnsi="Courier New" w:cs="Courier New" w:hint="default"/>
      </w:rPr>
    </w:lvl>
    <w:lvl w:ilvl="5" w:tplc="14090005" w:tentative="1">
      <w:start w:val="1"/>
      <w:numFmt w:val="bullet"/>
      <w:lvlText w:val=""/>
      <w:lvlJc w:val="left"/>
      <w:pPr>
        <w:ind w:left="10056" w:hanging="360"/>
      </w:pPr>
      <w:rPr>
        <w:rFonts w:ascii="Wingdings" w:hAnsi="Wingdings" w:hint="default"/>
      </w:rPr>
    </w:lvl>
    <w:lvl w:ilvl="6" w:tplc="14090001" w:tentative="1">
      <w:start w:val="1"/>
      <w:numFmt w:val="bullet"/>
      <w:lvlText w:val=""/>
      <w:lvlJc w:val="left"/>
      <w:pPr>
        <w:ind w:left="10776" w:hanging="360"/>
      </w:pPr>
      <w:rPr>
        <w:rFonts w:ascii="Symbol" w:hAnsi="Symbol" w:hint="default"/>
      </w:rPr>
    </w:lvl>
    <w:lvl w:ilvl="7" w:tplc="14090003" w:tentative="1">
      <w:start w:val="1"/>
      <w:numFmt w:val="bullet"/>
      <w:lvlText w:val="o"/>
      <w:lvlJc w:val="left"/>
      <w:pPr>
        <w:ind w:left="11496" w:hanging="360"/>
      </w:pPr>
      <w:rPr>
        <w:rFonts w:ascii="Courier New" w:hAnsi="Courier New" w:cs="Courier New" w:hint="default"/>
      </w:rPr>
    </w:lvl>
    <w:lvl w:ilvl="8" w:tplc="14090005" w:tentative="1">
      <w:start w:val="1"/>
      <w:numFmt w:val="bullet"/>
      <w:lvlText w:val=""/>
      <w:lvlJc w:val="left"/>
      <w:pPr>
        <w:ind w:left="12216" w:hanging="360"/>
      </w:pPr>
      <w:rPr>
        <w:rFonts w:ascii="Wingdings" w:hAnsi="Wingdings" w:hint="default"/>
      </w:rPr>
    </w:lvl>
  </w:abstractNum>
  <w:abstractNum w:abstractNumId="10" w15:restartNumberingAfterBreak="0">
    <w:nsid w:val="08A8544D"/>
    <w:multiLevelType w:val="hybridMultilevel"/>
    <w:tmpl w:val="11BA5E0C"/>
    <w:lvl w:ilvl="0" w:tplc="4C4427CE">
      <w:start w:val="1"/>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7B35780"/>
    <w:multiLevelType w:val="hybridMultilevel"/>
    <w:tmpl w:val="4800BEA4"/>
    <w:lvl w:ilvl="0" w:tplc="2402A772">
      <w:start w:val="1"/>
      <w:numFmt w:val="bullet"/>
      <w:lvlText w:val=""/>
      <w:lvlJc w:val="left"/>
      <w:pPr>
        <w:ind w:left="720" w:hanging="360"/>
      </w:pPr>
      <w:rPr>
        <w:rFonts w:ascii="Symbol" w:hAnsi="Symbol" w:hint="default"/>
      </w:rPr>
    </w:lvl>
    <w:lvl w:ilvl="1" w:tplc="70EA4712">
      <w:start w:val="1"/>
      <w:numFmt w:val="bullet"/>
      <w:lvlText w:val="o"/>
      <w:lvlJc w:val="left"/>
      <w:pPr>
        <w:ind w:left="1440" w:hanging="360"/>
      </w:pPr>
      <w:rPr>
        <w:rFonts w:ascii="Courier New" w:hAnsi="Courier New" w:hint="default"/>
      </w:rPr>
    </w:lvl>
    <w:lvl w:ilvl="2" w:tplc="0B840C52">
      <w:start w:val="1"/>
      <w:numFmt w:val="bullet"/>
      <w:lvlText w:val=""/>
      <w:lvlJc w:val="left"/>
      <w:pPr>
        <w:ind w:left="2160" w:hanging="360"/>
      </w:pPr>
      <w:rPr>
        <w:rFonts w:ascii="Wingdings" w:hAnsi="Wingdings" w:hint="default"/>
      </w:rPr>
    </w:lvl>
    <w:lvl w:ilvl="3" w:tplc="04188EA8">
      <w:start w:val="1"/>
      <w:numFmt w:val="bullet"/>
      <w:lvlText w:val=""/>
      <w:lvlJc w:val="left"/>
      <w:pPr>
        <w:ind w:left="2880" w:hanging="360"/>
      </w:pPr>
      <w:rPr>
        <w:rFonts w:ascii="Symbol" w:hAnsi="Symbol" w:hint="default"/>
      </w:rPr>
    </w:lvl>
    <w:lvl w:ilvl="4" w:tplc="40DC8BC4">
      <w:start w:val="1"/>
      <w:numFmt w:val="bullet"/>
      <w:lvlText w:val="o"/>
      <w:lvlJc w:val="left"/>
      <w:pPr>
        <w:ind w:left="3600" w:hanging="360"/>
      </w:pPr>
      <w:rPr>
        <w:rFonts w:ascii="Courier New" w:hAnsi="Courier New" w:hint="default"/>
      </w:rPr>
    </w:lvl>
    <w:lvl w:ilvl="5" w:tplc="814840C4">
      <w:start w:val="1"/>
      <w:numFmt w:val="bullet"/>
      <w:lvlText w:val=""/>
      <w:lvlJc w:val="left"/>
      <w:pPr>
        <w:ind w:left="4320" w:hanging="360"/>
      </w:pPr>
      <w:rPr>
        <w:rFonts w:ascii="Wingdings" w:hAnsi="Wingdings" w:hint="default"/>
      </w:rPr>
    </w:lvl>
    <w:lvl w:ilvl="6" w:tplc="28FA599C">
      <w:start w:val="1"/>
      <w:numFmt w:val="bullet"/>
      <w:lvlText w:val=""/>
      <w:lvlJc w:val="left"/>
      <w:pPr>
        <w:ind w:left="5040" w:hanging="360"/>
      </w:pPr>
      <w:rPr>
        <w:rFonts w:ascii="Symbol" w:hAnsi="Symbol" w:hint="default"/>
      </w:rPr>
    </w:lvl>
    <w:lvl w:ilvl="7" w:tplc="25849878">
      <w:start w:val="1"/>
      <w:numFmt w:val="bullet"/>
      <w:lvlText w:val="o"/>
      <w:lvlJc w:val="left"/>
      <w:pPr>
        <w:ind w:left="5760" w:hanging="360"/>
      </w:pPr>
      <w:rPr>
        <w:rFonts w:ascii="Courier New" w:hAnsi="Courier New" w:hint="default"/>
      </w:rPr>
    </w:lvl>
    <w:lvl w:ilvl="8" w:tplc="B478168C">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2D1F34E1"/>
    <w:multiLevelType w:val="hybridMultilevel"/>
    <w:tmpl w:val="B78AD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D26C24"/>
    <w:multiLevelType w:val="hybridMultilevel"/>
    <w:tmpl w:val="00C4C2CA"/>
    <w:lvl w:ilvl="0" w:tplc="6B74C138">
      <w:start w:val="1"/>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83765A"/>
    <w:multiLevelType w:val="hybridMultilevel"/>
    <w:tmpl w:val="3AF09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D17E17"/>
    <w:multiLevelType w:val="hybridMultilevel"/>
    <w:tmpl w:val="21C83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40E021A"/>
    <w:multiLevelType w:val="hybridMultilevel"/>
    <w:tmpl w:val="A4341188"/>
    <w:lvl w:ilvl="0" w:tplc="E3F858BE">
      <w:start w:val="1"/>
      <w:numFmt w:val="upperLetter"/>
      <w:lvlText w:val="(%1)"/>
      <w:lvlJc w:val="left"/>
      <w:pPr>
        <w:ind w:left="386" w:hanging="360"/>
      </w:pPr>
      <w:rPr>
        <w:rFonts w:hint="default"/>
        <w:b w:val="0"/>
        <w:sz w:val="18"/>
        <w:vertAlign w:val="superscript"/>
      </w:rPr>
    </w:lvl>
    <w:lvl w:ilvl="1" w:tplc="14090019" w:tentative="1">
      <w:start w:val="1"/>
      <w:numFmt w:val="lowerLetter"/>
      <w:lvlText w:val="%2."/>
      <w:lvlJc w:val="left"/>
      <w:pPr>
        <w:ind w:left="1106" w:hanging="360"/>
      </w:pPr>
    </w:lvl>
    <w:lvl w:ilvl="2" w:tplc="1409001B" w:tentative="1">
      <w:start w:val="1"/>
      <w:numFmt w:val="lowerRoman"/>
      <w:lvlText w:val="%3."/>
      <w:lvlJc w:val="right"/>
      <w:pPr>
        <w:ind w:left="1826" w:hanging="180"/>
      </w:pPr>
    </w:lvl>
    <w:lvl w:ilvl="3" w:tplc="1409000F" w:tentative="1">
      <w:start w:val="1"/>
      <w:numFmt w:val="decimal"/>
      <w:lvlText w:val="%4."/>
      <w:lvlJc w:val="left"/>
      <w:pPr>
        <w:ind w:left="2546" w:hanging="360"/>
      </w:pPr>
    </w:lvl>
    <w:lvl w:ilvl="4" w:tplc="14090019" w:tentative="1">
      <w:start w:val="1"/>
      <w:numFmt w:val="lowerLetter"/>
      <w:lvlText w:val="%5."/>
      <w:lvlJc w:val="left"/>
      <w:pPr>
        <w:ind w:left="3266" w:hanging="360"/>
      </w:pPr>
    </w:lvl>
    <w:lvl w:ilvl="5" w:tplc="1409001B" w:tentative="1">
      <w:start w:val="1"/>
      <w:numFmt w:val="lowerRoman"/>
      <w:lvlText w:val="%6."/>
      <w:lvlJc w:val="right"/>
      <w:pPr>
        <w:ind w:left="3986" w:hanging="180"/>
      </w:pPr>
    </w:lvl>
    <w:lvl w:ilvl="6" w:tplc="1409000F" w:tentative="1">
      <w:start w:val="1"/>
      <w:numFmt w:val="decimal"/>
      <w:lvlText w:val="%7."/>
      <w:lvlJc w:val="left"/>
      <w:pPr>
        <w:ind w:left="4706" w:hanging="360"/>
      </w:pPr>
    </w:lvl>
    <w:lvl w:ilvl="7" w:tplc="14090019" w:tentative="1">
      <w:start w:val="1"/>
      <w:numFmt w:val="lowerLetter"/>
      <w:lvlText w:val="%8."/>
      <w:lvlJc w:val="left"/>
      <w:pPr>
        <w:ind w:left="5426" w:hanging="360"/>
      </w:pPr>
    </w:lvl>
    <w:lvl w:ilvl="8" w:tplc="1409001B" w:tentative="1">
      <w:start w:val="1"/>
      <w:numFmt w:val="lowerRoman"/>
      <w:lvlText w:val="%9."/>
      <w:lvlJc w:val="right"/>
      <w:pPr>
        <w:ind w:left="6146" w:hanging="180"/>
      </w:pPr>
    </w:lvl>
  </w:abstractNum>
  <w:abstractNum w:abstractNumId="22" w15:restartNumberingAfterBreak="0">
    <w:nsid w:val="441B1459"/>
    <w:multiLevelType w:val="hybridMultilevel"/>
    <w:tmpl w:val="AF422310"/>
    <w:lvl w:ilvl="0" w:tplc="6FB4BACA">
      <w:start w:val="1"/>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7827941"/>
    <w:multiLevelType w:val="hybridMultilevel"/>
    <w:tmpl w:val="8C6217D0"/>
    <w:lvl w:ilvl="0" w:tplc="F228ADA2">
      <w:start w:val="1"/>
      <w:numFmt w:val="upperLetter"/>
      <w:lvlText w:val="(%1)"/>
      <w:lvlJc w:val="left"/>
      <w:pPr>
        <w:ind w:left="720" w:hanging="360"/>
      </w:pPr>
      <w:rPr>
        <w:rFonts w:hint="default"/>
        <w:b w:val="0"/>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DB4DBE"/>
    <w:multiLevelType w:val="hybridMultilevel"/>
    <w:tmpl w:val="99CA78C6"/>
    <w:lvl w:ilvl="0" w:tplc="4872CE44">
      <w:start w:val="1"/>
      <w:numFmt w:val="lowerLetter"/>
      <w:lvlText w:val="(%1)"/>
      <w:lvlJc w:val="left"/>
      <w:pPr>
        <w:ind w:left="386" w:hanging="360"/>
      </w:pPr>
      <w:rPr>
        <w:rFonts w:hint="default"/>
      </w:rPr>
    </w:lvl>
    <w:lvl w:ilvl="1" w:tplc="14090019" w:tentative="1">
      <w:start w:val="1"/>
      <w:numFmt w:val="lowerLetter"/>
      <w:lvlText w:val="%2."/>
      <w:lvlJc w:val="left"/>
      <w:pPr>
        <w:ind w:left="1106" w:hanging="360"/>
      </w:pPr>
    </w:lvl>
    <w:lvl w:ilvl="2" w:tplc="1409001B" w:tentative="1">
      <w:start w:val="1"/>
      <w:numFmt w:val="lowerRoman"/>
      <w:lvlText w:val="%3."/>
      <w:lvlJc w:val="right"/>
      <w:pPr>
        <w:ind w:left="1826" w:hanging="180"/>
      </w:pPr>
    </w:lvl>
    <w:lvl w:ilvl="3" w:tplc="1409000F" w:tentative="1">
      <w:start w:val="1"/>
      <w:numFmt w:val="decimal"/>
      <w:lvlText w:val="%4."/>
      <w:lvlJc w:val="left"/>
      <w:pPr>
        <w:ind w:left="2546" w:hanging="360"/>
      </w:pPr>
    </w:lvl>
    <w:lvl w:ilvl="4" w:tplc="14090019" w:tentative="1">
      <w:start w:val="1"/>
      <w:numFmt w:val="lowerLetter"/>
      <w:lvlText w:val="%5."/>
      <w:lvlJc w:val="left"/>
      <w:pPr>
        <w:ind w:left="3266" w:hanging="360"/>
      </w:pPr>
    </w:lvl>
    <w:lvl w:ilvl="5" w:tplc="1409001B" w:tentative="1">
      <w:start w:val="1"/>
      <w:numFmt w:val="lowerRoman"/>
      <w:lvlText w:val="%6."/>
      <w:lvlJc w:val="right"/>
      <w:pPr>
        <w:ind w:left="3986" w:hanging="180"/>
      </w:pPr>
    </w:lvl>
    <w:lvl w:ilvl="6" w:tplc="1409000F" w:tentative="1">
      <w:start w:val="1"/>
      <w:numFmt w:val="decimal"/>
      <w:lvlText w:val="%7."/>
      <w:lvlJc w:val="left"/>
      <w:pPr>
        <w:ind w:left="4706" w:hanging="360"/>
      </w:pPr>
    </w:lvl>
    <w:lvl w:ilvl="7" w:tplc="14090019" w:tentative="1">
      <w:start w:val="1"/>
      <w:numFmt w:val="lowerLetter"/>
      <w:lvlText w:val="%8."/>
      <w:lvlJc w:val="left"/>
      <w:pPr>
        <w:ind w:left="5426" w:hanging="360"/>
      </w:pPr>
    </w:lvl>
    <w:lvl w:ilvl="8" w:tplc="1409001B" w:tentative="1">
      <w:start w:val="1"/>
      <w:numFmt w:val="lowerRoman"/>
      <w:lvlText w:val="%9."/>
      <w:lvlJc w:val="right"/>
      <w:pPr>
        <w:ind w:left="6146" w:hanging="180"/>
      </w:pPr>
    </w:lvl>
  </w:abstractNum>
  <w:abstractNum w:abstractNumId="26" w15:restartNumberingAfterBreak="0">
    <w:nsid w:val="4D55692A"/>
    <w:multiLevelType w:val="hybridMultilevel"/>
    <w:tmpl w:val="69742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C91C66"/>
    <w:multiLevelType w:val="hybridMultilevel"/>
    <w:tmpl w:val="708C1B8E"/>
    <w:lvl w:ilvl="0" w:tplc="6A3624C8">
      <w:start w:val="1"/>
      <w:numFmt w:val="bullet"/>
      <w:lvlText w:val=""/>
      <w:lvlJc w:val="left"/>
      <w:pPr>
        <w:ind w:left="720" w:hanging="360"/>
      </w:pPr>
      <w:rPr>
        <w:rFonts w:ascii="Symbol" w:hAnsi="Symbol" w:hint="default"/>
      </w:rPr>
    </w:lvl>
    <w:lvl w:ilvl="1" w:tplc="6270F018">
      <w:start w:val="1"/>
      <w:numFmt w:val="bullet"/>
      <w:lvlText w:val="o"/>
      <w:lvlJc w:val="left"/>
      <w:pPr>
        <w:ind w:left="1440" w:hanging="360"/>
      </w:pPr>
      <w:rPr>
        <w:rFonts w:ascii="Courier New" w:hAnsi="Courier New" w:hint="default"/>
      </w:rPr>
    </w:lvl>
    <w:lvl w:ilvl="2" w:tplc="8422A1AC">
      <w:start w:val="1"/>
      <w:numFmt w:val="bullet"/>
      <w:lvlText w:val=""/>
      <w:lvlJc w:val="left"/>
      <w:pPr>
        <w:ind w:left="2160" w:hanging="360"/>
      </w:pPr>
      <w:rPr>
        <w:rFonts w:ascii="Wingdings" w:hAnsi="Wingdings" w:hint="default"/>
      </w:rPr>
    </w:lvl>
    <w:lvl w:ilvl="3" w:tplc="B9CC48F6">
      <w:start w:val="1"/>
      <w:numFmt w:val="bullet"/>
      <w:lvlText w:val=""/>
      <w:lvlJc w:val="left"/>
      <w:pPr>
        <w:ind w:left="2880" w:hanging="360"/>
      </w:pPr>
      <w:rPr>
        <w:rFonts w:ascii="Symbol" w:hAnsi="Symbol" w:hint="default"/>
      </w:rPr>
    </w:lvl>
    <w:lvl w:ilvl="4" w:tplc="7B027964">
      <w:start w:val="1"/>
      <w:numFmt w:val="bullet"/>
      <w:lvlText w:val="o"/>
      <w:lvlJc w:val="left"/>
      <w:pPr>
        <w:ind w:left="3600" w:hanging="360"/>
      </w:pPr>
      <w:rPr>
        <w:rFonts w:ascii="Courier New" w:hAnsi="Courier New" w:hint="default"/>
      </w:rPr>
    </w:lvl>
    <w:lvl w:ilvl="5" w:tplc="7C6E245E">
      <w:start w:val="1"/>
      <w:numFmt w:val="bullet"/>
      <w:lvlText w:val=""/>
      <w:lvlJc w:val="left"/>
      <w:pPr>
        <w:ind w:left="4320" w:hanging="360"/>
      </w:pPr>
      <w:rPr>
        <w:rFonts w:ascii="Wingdings" w:hAnsi="Wingdings" w:hint="default"/>
      </w:rPr>
    </w:lvl>
    <w:lvl w:ilvl="6" w:tplc="A2062DDE">
      <w:start w:val="1"/>
      <w:numFmt w:val="bullet"/>
      <w:lvlText w:val=""/>
      <w:lvlJc w:val="left"/>
      <w:pPr>
        <w:ind w:left="5040" w:hanging="360"/>
      </w:pPr>
      <w:rPr>
        <w:rFonts w:ascii="Symbol" w:hAnsi="Symbol" w:hint="default"/>
      </w:rPr>
    </w:lvl>
    <w:lvl w:ilvl="7" w:tplc="ED465912">
      <w:start w:val="1"/>
      <w:numFmt w:val="bullet"/>
      <w:lvlText w:val="o"/>
      <w:lvlJc w:val="left"/>
      <w:pPr>
        <w:ind w:left="5760" w:hanging="360"/>
      </w:pPr>
      <w:rPr>
        <w:rFonts w:ascii="Courier New" w:hAnsi="Courier New" w:hint="default"/>
      </w:rPr>
    </w:lvl>
    <w:lvl w:ilvl="8" w:tplc="63F89630">
      <w:start w:val="1"/>
      <w:numFmt w:val="bullet"/>
      <w:lvlText w:val=""/>
      <w:lvlJc w:val="left"/>
      <w:pPr>
        <w:ind w:left="6480" w:hanging="360"/>
      </w:pPr>
      <w:rPr>
        <w:rFonts w:ascii="Wingdings" w:hAnsi="Wingdings" w:hint="default"/>
      </w:rPr>
    </w:lvl>
  </w:abstractNum>
  <w:abstractNum w:abstractNumId="28" w15:restartNumberingAfterBreak="0">
    <w:nsid w:val="587E2226"/>
    <w:multiLevelType w:val="hybridMultilevel"/>
    <w:tmpl w:val="7FA07A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65B81FC1"/>
    <w:multiLevelType w:val="hybridMultilevel"/>
    <w:tmpl w:val="C088C46C"/>
    <w:lvl w:ilvl="0" w:tplc="E062BBC0">
      <w:start w:val="1"/>
      <w:numFmt w:val="upperLetter"/>
      <w:lvlText w:val="(%1)"/>
      <w:lvlJc w:val="left"/>
      <w:pPr>
        <w:ind w:left="720" w:hanging="360"/>
      </w:pPr>
      <w:rPr>
        <w:rFonts w:hint="default"/>
        <w:b w:val="0"/>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C1A644D"/>
    <w:multiLevelType w:val="hybridMultilevel"/>
    <w:tmpl w:val="47E0C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70F36C53"/>
    <w:multiLevelType w:val="hybridMultilevel"/>
    <w:tmpl w:val="EA58C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0"/>
  </w:num>
  <w:num w:numId="9">
    <w:abstractNumId w:val="20"/>
  </w:num>
  <w:num w:numId="10">
    <w:abstractNumId w:val="13"/>
  </w:num>
  <w:num w:numId="11">
    <w:abstractNumId w:val="31"/>
  </w:num>
  <w:num w:numId="12">
    <w:abstractNumId w:val="33"/>
  </w:num>
  <w:num w:numId="13">
    <w:abstractNumId w:val="36"/>
  </w:num>
  <w:num w:numId="14">
    <w:abstractNumId w:val="8"/>
  </w:num>
  <w:num w:numId="15">
    <w:abstractNumId w:val="17"/>
  </w:num>
  <w:num w:numId="16">
    <w:abstractNumId w:val="38"/>
  </w:num>
  <w:num w:numId="17">
    <w:abstractNumId w:val="34"/>
  </w:num>
  <w:num w:numId="18">
    <w:abstractNumId w:val="24"/>
  </w:num>
  <w:num w:numId="19">
    <w:abstractNumId w:val="18"/>
  </w:num>
  <w:num w:numId="20">
    <w:abstractNumId w:val="11"/>
  </w:num>
  <w:num w:numId="21">
    <w:abstractNumId w:val="7"/>
  </w:num>
  <w:num w:numId="22">
    <w:abstractNumId w:val="14"/>
  </w:num>
  <w:num w:numId="23">
    <w:abstractNumId w:val="10"/>
  </w:num>
  <w:num w:numId="24">
    <w:abstractNumId w:val="9"/>
  </w:num>
  <w:num w:numId="25">
    <w:abstractNumId w:val="16"/>
  </w:num>
  <w:num w:numId="26">
    <w:abstractNumId w:val="35"/>
  </w:num>
  <w:num w:numId="27">
    <w:abstractNumId w:val="6"/>
  </w:num>
  <w:num w:numId="28">
    <w:abstractNumId w:val="26"/>
  </w:num>
  <w:num w:numId="29">
    <w:abstractNumId w:val="19"/>
  </w:num>
  <w:num w:numId="30">
    <w:abstractNumId w:val="37"/>
  </w:num>
  <w:num w:numId="31">
    <w:abstractNumId w:val="23"/>
  </w:num>
  <w:num w:numId="32">
    <w:abstractNumId w:val="32"/>
  </w:num>
  <w:num w:numId="33">
    <w:abstractNumId w:val="21"/>
  </w:num>
  <w:num w:numId="34">
    <w:abstractNumId w:val="25"/>
  </w:num>
  <w:num w:numId="35">
    <w:abstractNumId w:val="15"/>
  </w:num>
  <w:num w:numId="36">
    <w:abstractNumId w:val="27"/>
  </w:num>
  <w:num w:numId="37">
    <w:abstractNumId w:val="12"/>
  </w:num>
  <w:num w:numId="38">
    <w:abstractNumId w:val="22"/>
  </w:num>
  <w:num w:numId="39">
    <w:abstractNumId w:val="34"/>
  </w:num>
  <w:num w:numId="40">
    <w:abstractNumId w:val="34"/>
  </w:num>
  <w:num w:numId="41">
    <w:abstractNumId w:val="34"/>
  </w:num>
  <w:num w:numId="42">
    <w:abstractNumId w:val="9"/>
  </w:num>
  <w:num w:numId="4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167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B"/>
    <w:rsid w:val="00003360"/>
    <w:rsid w:val="00003FC7"/>
    <w:rsid w:val="00005919"/>
    <w:rsid w:val="00007C42"/>
    <w:rsid w:val="00015020"/>
    <w:rsid w:val="0001647B"/>
    <w:rsid w:val="00020010"/>
    <w:rsid w:val="00025E8A"/>
    <w:rsid w:val="00034673"/>
    <w:rsid w:val="00036671"/>
    <w:rsid w:val="00037226"/>
    <w:rsid w:val="0004085B"/>
    <w:rsid w:val="000409E2"/>
    <w:rsid w:val="00044EA1"/>
    <w:rsid w:val="0005322B"/>
    <w:rsid w:val="00054574"/>
    <w:rsid w:val="0005649A"/>
    <w:rsid w:val="00060802"/>
    <w:rsid w:val="00063BB2"/>
    <w:rsid w:val="00065F18"/>
    <w:rsid w:val="00067005"/>
    <w:rsid w:val="00070F84"/>
    <w:rsid w:val="00076035"/>
    <w:rsid w:val="00076CAF"/>
    <w:rsid w:val="00077013"/>
    <w:rsid w:val="0008167B"/>
    <w:rsid w:val="00083B37"/>
    <w:rsid w:val="00091C3A"/>
    <w:rsid w:val="000930AF"/>
    <w:rsid w:val="00093B11"/>
    <w:rsid w:val="00094178"/>
    <w:rsid w:val="000A27F5"/>
    <w:rsid w:val="000A5733"/>
    <w:rsid w:val="000C0509"/>
    <w:rsid w:val="000C2E09"/>
    <w:rsid w:val="000D2109"/>
    <w:rsid w:val="000D44C4"/>
    <w:rsid w:val="000D61F6"/>
    <w:rsid w:val="000E3240"/>
    <w:rsid w:val="000E491E"/>
    <w:rsid w:val="000E677B"/>
    <w:rsid w:val="000F4ADF"/>
    <w:rsid w:val="000F61AF"/>
    <w:rsid w:val="0010171C"/>
    <w:rsid w:val="00102FAD"/>
    <w:rsid w:val="00104CB8"/>
    <w:rsid w:val="00112557"/>
    <w:rsid w:val="00121870"/>
    <w:rsid w:val="00126FDE"/>
    <w:rsid w:val="001308A0"/>
    <w:rsid w:val="0013703F"/>
    <w:rsid w:val="001373C5"/>
    <w:rsid w:val="00140ED2"/>
    <w:rsid w:val="00143A6C"/>
    <w:rsid w:val="00143E7C"/>
    <w:rsid w:val="0014415C"/>
    <w:rsid w:val="0014565E"/>
    <w:rsid w:val="0014691F"/>
    <w:rsid w:val="00151CB9"/>
    <w:rsid w:val="00153678"/>
    <w:rsid w:val="001536C9"/>
    <w:rsid w:val="00154CAF"/>
    <w:rsid w:val="00161191"/>
    <w:rsid w:val="00162800"/>
    <w:rsid w:val="0016433D"/>
    <w:rsid w:val="00172864"/>
    <w:rsid w:val="00184C0F"/>
    <w:rsid w:val="00196AE7"/>
    <w:rsid w:val="001A36BE"/>
    <w:rsid w:val="001A5F55"/>
    <w:rsid w:val="001B139A"/>
    <w:rsid w:val="001C0031"/>
    <w:rsid w:val="001C0C30"/>
    <w:rsid w:val="001C5D4C"/>
    <w:rsid w:val="001D0111"/>
    <w:rsid w:val="001D7EAE"/>
    <w:rsid w:val="001E49F7"/>
    <w:rsid w:val="001E64FC"/>
    <w:rsid w:val="001F0724"/>
    <w:rsid w:val="001F454B"/>
    <w:rsid w:val="002007DF"/>
    <w:rsid w:val="00201492"/>
    <w:rsid w:val="002031E0"/>
    <w:rsid w:val="00205247"/>
    <w:rsid w:val="00205FE8"/>
    <w:rsid w:val="00206BA3"/>
    <w:rsid w:val="002130EF"/>
    <w:rsid w:val="00215160"/>
    <w:rsid w:val="00216897"/>
    <w:rsid w:val="002224B4"/>
    <w:rsid w:val="00224151"/>
    <w:rsid w:val="00225C4B"/>
    <w:rsid w:val="00226D5E"/>
    <w:rsid w:val="00227FA2"/>
    <w:rsid w:val="0023133F"/>
    <w:rsid w:val="00232643"/>
    <w:rsid w:val="002361BB"/>
    <w:rsid w:val="00237A3D"/>
    <w:rsid w:val="00240E83"/>
    <w:rsid w:val="00241B25"/>
    <w:rsid w:val="002502D1"/>
    <w:rsid w:val="00260A17"/>
    <w:rsid w:val="00262E78"/>
    <w:rsid w:val="00270EEC"/>
    <w:rsid w:val="00276964"/>
    <w:rsid w:val="002777D8"/>
    <w:rsid w:val="002806A2"/>
    <w:rsid w:val="0028471C"/>
    <w:rsid w:val="00297CC7"/>
    <w:rsid w:val="002A194F"/>
    <w:rsid w:val="002A4BD9"/>
    <w:rsid w:val="002A4FE7"/>
    <w:rsid w:val="002A7723"/>
    <w:rsid w:val="002B1CEB"/>
    <w:rsid w:val="002B2C05"/>
    <w:rsid w:val="002B3126"/>
    <w:rsid w:val="002B52CC"/>
    <w:rsid w:val="002C05DD"/>
    <w:rsid w:val="002D3125"/>
    <w:rsid w:val="002D4F42"/>
    <w:rsid w:val="0030084C"/>
    <w:rsid w:val="003039E1"/>
    <w:rsid w:val="003069A2"/>
    <w:rsid w:val="003129BA"/>
    <w:rsid w:val="003144F0"/>
    <w:rsid w:val="003148FC"/>
    <w:rsid w:val="0032132E"/>
    <w:rsid w:val="003220B2"/>
    <w:rsid w:val="00330820"/>
    <w:rsid w:val="003465C8"/>
    <w:rsid w:val="00351BEA"/>
    <w:rsid w:val="003562F8"/>
    <w:rsid w:val="0037016B"/>
    <w:rsid w:val="00370365"/>
    <w:rsid w:val="00370FC0"/>
    <w:rsid w:val="00373206"/>
    <w:rsid w:val="003737ED"/>
    <w:rsid w:val="00375B80"/>
    <w:rsid w:val="00377352"/>
    <w:rsid w:val="00382170"/>
    <w:rsid w:val="0039113D"/>
    <w:rsid w:val="003A10DA"/>
    <w:rsid w:val="003A12C8"/>
    <w:rsid w:val="003A6032"/>
    <w:rsid w:val="003A6FFE"/>
    <w:rsid w:val="003A7695"/>
    <w:rsid w:val="003B3A23"/>
    <w:rsid w:val="003B6592"/>
    <w:rsid w:val="003C772C"/>
    <w:rsid w:val="003E2751"/>
    <w:rsid w:val="003F2939"/>
    <w:rsid w:val="003F2B58"/>
    <w:rsid w:val="003F5886"/>
    <w:rsid w:val="003F5DCC"/>
    <w:rsid w:val="0040020C"/>
    <w:rsid w:val="00401CA0"/>
    <w:rsid w:val="0040700B"/>
    <w:rsid w:val="00407F54"/>
    <w:rsid w:val="00410501"/>
    <w:rsid w:val="00411341"/>
    <w:rsid w:val="00413966"/>
    <w:rsid w:val="00415015"/>
    <w:rsid w:val="00415337"/>
    <w:rsid w:val="00415CDB"/>
    <w:rsid w:val="00416115"/>
    <w:rsid w:val="004231DC"/>
    <w:rsid w:val="0042551E"/>
    <w:rsid w:val="00433AD8"/>
    <w:rsid w:val="004346D3"/>
    <w:rsid w:val="00436E41"/>
    <w:rsid w:val="00437A53"/>
    <w:rsid w:val="00441916"/>
    <w:rsid w:val="004552A0"/>
    <w:rsid w:val="0045721D"/>
    <w:rsid w:val="00457E34"/>
    <w:rsid w:val="00460A83"/>
    <w:rsid w:val="00460B3F"/>
    <w:rsid w:val="00463D09"/>
    <w:rsid w:val="004643F4"/>
    <w:rsid w:val="00464752"/>
    <w:rsid w:val="00472A55"/>
    <w:rsid w:val="00476068"/>
    <w:rsid w:val="004763B3"/>
    <w:rsid w:val="00477619"/>
    <w:rsid w:val="00477EDD"/>
    <w:rsid w:val="00484A3A"/>
    <w:rsid w:val="00486E6E"/>
    <w:rsid w:val="004875DF"/>
    <w:rsid w:val="00487C1D"/>
    <w:rsid w:val="0049194C"/>
    <w:rsid w:val="00494AE9"/>
    <w:rsid w:val="00494C6F"/>
    <w:rsid w:val="004973F3"/>
    <w:rsid w:val="00497C0C"/>
    <w:rsid w:val="004A43E8"/>
    <w:rsid w:val="004A5823"/>
    <w:rsid w:val="004B041E"/>
    <w:rsid w:val="004B0AAF"/>
    <w:rsid w:val="004B214C"/>
    <w:rsid w:val="004B3924"/>
    <w:rsid w:val="004B3B7A"/>
    <w:rsid w:val="004B4046"/>
    <w:rsid w:val="004B427B"/>
    <w:rsid w:val="004B6881"/>
    <w:rsid w:val="004B7415"/>
    <w:rsid w:val="004C2009"/>
    <w:rsid w:val="004C32E4"/>
    <w:rsid w:val="004C4DDD"/>
    <w:rsid w:val="004C5F40"/>
    <w:rsid w:val="004C6953"/>
    <w:rsid w:val="004C7001"/>
    <w:rsid w:val="004D1706"/>
    <w:rsid w:val="004D243F"/>
    <w:rsid w:val="004D2612"/>
    <w:rsid w:val="004D3AEF"/>
    <w:rsid w:val="004D7473"/>
    <w:rsid w:val="004E178D"/>
    <w:rsid w:val="004E5A2C"/>
    <w:rsid w:val="004F24A0"/>
    <w:rsid w:val="004F2E8A"/>
    <w:rsid w:val="004F4F3C"/>
    <w:rsid w:val="004F55E1"/>
    <w:rsid w:val="00501C4B"/>
    <w:rsid w:val="00501DBD"/>
    <w:rsid w:val="00502457"/>
    <w:rsid w:val="005028A7"/>
    <w:rsid w:val="0050299F"/>
    <w:rsid w:val="00504723"/>
    <w:rsid w:val="005078B7"/>
    <w:rsid w:val="00510D73"/>
    <w:rsid w:val="00512ACB"/>
    <w:rsid w:val="0052216D"/>
    <w:rsid w:val="00526115"/>
    <w:rsid w:val="005329DD"/>
    <w:rsid w:val="00533097"/>
    <w:rsid w:val="00533FAF"/>
    <w:rsid w:val="005366B6"/>
    <w:rsid w:val="00554BCD"/>
    <w:rsid w:val="00555F60"/>
    <w:rsid w:val="005605A5"/>
    <w:rsid w:val="00560B3C"/>
    <w:rsid w:val="00561A97"/>
    <w:rsid w:val="00563DAC"/>
    <w:rsid w:val="005675E0"/>
    <w:rsid w:val="00570A71"/>
    <w:rsid w:val="00570C00"/>
    <w:rsid w:val="00576AAA"/>
    <w:rsid w:val="0057734D"/>
    <w:rsid w:val="0058206B"/>
    <w:rsid w:val="00585690"/>
    <w:rsid w:val="00586359"/>
    <w:rsid w:val="00591BDC"/>
    <w:rsid w:val="00593DDC"/>
    <w:rsid w:val="00594AAA"/>
    <w:rsid w:val="00595B33"/>
    <w:rsid w:val="0059662F"/>
    <w:rsid w:val="005B1E27"/>
    <w:rsid w:val="005B7254"/>
    <w:rsid w:val="005B7B1B"/>
    <w:rsid w:val="005C786F"/>
    <w:rsid w:val="005D3066"/>
    <w:rsid w:val="005D7A0F"/>
    <w:rsid w:val="005E1C58"/>
    <w:rsid w:val="005E4B13"/>
    <w:rsid w:val="005E4C02"/>
    <w:rsid w:val="005E737A"/>
    <w:rsid w:val="005F01DF"/>
    <w:rsid w:val="005F5640"/>
    <w:rsid w:val="005F76CC"/>
    <w:rsid w:val="005F7FF8"/>
    <w:rsid w:val="006004C4"/>
    <w:rsid w:val="00600CA4"/>
    <w:rsid w:val="00602416"/>
    <w:rsid w:val="006025CE"/>
    <w:rsid w:val="00603635"/>
    <w:rsid w:val="006041F2"/>
    <w:rsid w:val="006059CE"/>
    <w:rsid w:val="006064F5"/>
    <w:rsid w:val="00612AB4"/>
    <w:rsid w:val="00617298"/>
    <w:rsid w:val="00620EAC"/>
    <w:rsid w:val="006221E5"/>
    <w:rsid w:val="00623CBD"/>
    <w:rsid w:val="00635DE4"/>
    <w:rsid w:val="00637753"/>
    <w:rsid w:val="00657694"/>
    <w:rsid w:val="00660785"/>
    <w:rsid w:val="00660CE4"/>
    <w:rsid w:val="00662716"/>
    <w:rsid w:val="0066313E"/>
    <w:rsid w:val="00664521"/>
    <w:rsid w:val="006651F3"/>
    <w:rsid w:val="00667E89"/>
    <w:rsid w:val="00673998"/>
    <w:rsid w:val="00676C9F"/>
    <w:rsid w:val="00677B13"/>
    <w:rsid w:val="00677F4E"/>
    <w:rsid w:val="00677F8A"/>
    <w:rsid w:val="00681A08"/>
    <w:rsid w:val="006823E4"/>
    <w:rsid w:val="00685ECF"/>
    <w:rsid w:val="006875B8"/>
    <w:rsid w:val="00687CEA"/>
    <w:rsid w:val="006934B5"/>
    <w:rsid w:val="00694E01"/>
    <w:rsid w:val="00695171"/>
    <w:rsid w:val="00695B75"/>
    <w:rsid w:val="006A1A95"/>
    <w:rsid w:val="006A2AC3"/>
    <w:rsid w:val="006A38B7"/>
    <w:rsid w:val="006A5C31"/>
    <w:rsid w:val="006B09CA"/>
    <w:rsid w:val="006B0A90"/>
    <w:rsid w:val="006B1CB2"/>
    <w:rsid w:val="006B1DD1"/>
    <w:rsid w:val="006B3396"/>
    <w:rsid w:val="006B4FE7"/>
    <w:rsid w:val="006C195E"/>
    <w:rsid w:val="006D638F"/>
    <w:rsid w:val="006D7384"/>
    <w:rsid w:val="006E00CC"/>
    <w:rsid w:val="006E7BF7"/>
    <w:rsid w:val="006F0C04"/>
    <w:rsid w:val="00702F2C"/>
    <w:rsid w:val="007068C8"/>
    <w:rsid w:val="00706988"/>
    <w:rsid w:val="00707221"/>
    <w:rsid w:val="00715B8F"/>
    <w:rsid w:val="0073106E"/>
    <w:rsid w:val="00746FBE"/>
    <w:rsid w:val="0075440D"/>
    <w:rsid w:val="00755142"/>
    <w:rsid w:val="007564FB"/>
    <w:rsid w:val="00756709"/>
    <w:rsid w:val="00756BB7"/>
    <w:rsid w:val="0075764B"/>
    <w:rsid w:val="00760C01"/>
    <w:rsid w:val="00761293"/>
    <w:rsid w:val="00762B70"/>
    <w:rsid w:val="00767C04"/>
    <w:rsid w:val="007736A2"/>
    <w:rsid w:val="007737D0"/>
    <w:rsid w:val="00781CFB"/>
    <w:rsid w:val="0078592D"/>
    <w:rsid w:val="007910A1"/>
    <w:rsid w:val="007A6226"/>
    <w:rsid w:val="007B3AC7"/>
    <w:rsid w:val="007B3C61"/>
    <w:rsid w:val="007B3E9C"/>
    <w:rsid w:val="007C66B7"/>
    <w:rsid w:val="007D1918"/>
    <w:rsid w:val="007D1FD9"/>
    <w:rsid w:val="007D41EC"/>
    <w:rsid w:val="007E5535"/>
    <w:rsid w:val="007F03F2"/>
    <w:rsid w:val="007F65CB"/>
    <w:rsid w:val="008031DF"/>
    <w:rsid w:val="008065D7"/>
    <w:rsid w:val="00810B25"/>
    <w:rsid w:val="008111A3"/>
    <w:rsid w:val="00812890"/>
    <w:rsid w:val="00816E30"/>
    <w:rsid w:val="0082264B"/>
    <w:rsid w:val="00823A2F"/>
    <w:rsid w:val="00824089"/>
    <w:rsid w:val="00826B95"/>
    <w:rsid w:val="0082765B"/>
    <w:rsid w:val="00834B76"/>
    <w:rsid w:val="008352B1"/>
    <w:rsid w:val="008353E7"/>
    <w:rsid w:val="00835AFC"/>
    <w:rsid w:val="00835BD7"/>
    <w:rsid w:val="008428E8"/>
    <w:rsid w:val="00843D71"/>
    <w:rsid w:val="0084477E"/>
    <w:rsid w:val="00846F11"/>
    <w:rsid w:val="0084745A"/>
    <w:rsid w:val="008504D0"/>
    <w:rsid w:val="0085093C"/>
    <w:rsid w:val="008642E0"/>
    <w:rsid w:val="00870045"/>
    <w:rsid w:val="0087423E"/>
    <w:rsid w:val="00875228"/>
    <w:rsid w:val="00876E5F"/>
    <w:rsid w:val="008772FC"/>
    <w:rsid w:val="00884A12"/>
    <w:rsid w:val="00890CE4"/>
    <w:rsid w:val="00891ED7"/>
    <w:rsid w:val="008B00C0"/>
    <w:rsid w:val="008B7B54"/>
    <w:rsid w:val="008C25A6"/>
    <w:rsid w:val="008C3187"/>
    <w:rsid w:val="008C5E4F"/>
    <w:rsid w:val="008D3027"/>
    <w:rsid w:val="008D63B7"/>
    <w:rsid w:val="008D6A03"/>
    <w:rsid w:val="008D6CA7"/>
    <w:rsid w:val="008E1003"/>
    <w:rsid w:val="008E508C"/>
    <w:rsid w:val="008E7FEE"/>
    <w:rsid w:val="008F0B59"/>
    <w:rsid w:val="008F2C13"/>
    <w:rsid w:val="008F2F06"/>
    <w:rsid w:val="008F31F5"/>
    <w:rsid w:val="008F52B9"/>
    <w:rsid w:val="008F67F5"/>
    <w:rsid w:val="008F6BCE"/>
    <w:rsid w:val="00900D4B"/>
    <w:rsid w:val="00905F4E"/>
    <w:rsid w:val="00905F9B"/>
    <w:rsid w:val="00906F0A"/>
    <w:rsid w:val="00913E95"/>
    <w:rsid w:val="00914603"/>
    <w:rsid w:val="009170B9"/>
    <w:rsid w:val="00921E63"/>
    <w:rsid w:val="00923A87"/>
    <w:rsid w:val="00927482"/>
    <w:rsid w:val="00931A4C"/>
    <w:rsid w:val="00932B51"/>
    <w:rsid w:val="00936FF5"/>
    <w:rsid w:val="00945ECB"/>
    <w:rsid w:val="0094654B"/>
    <w:rsid w:val="0095112B"/>
    <w:rsid w:val="0095564C"/>
    <w:rsid w:val="0095712A"/>
    <w:rsid w:val="00970AD3"/>
    <w:rsid w:val="009734CF"/>
    <w:rsid w:val="00973A6D"/>
    <w:rsid w:val="009804E0"/>
    <w:rsid w:val="00983735"/>
    <w:rsid w:val="00983C55"/>
    <w:rsid w:val="009865AA"/>
    <w:rsid w:val="00987080"/>
    <w:rsid w:val="0098765A"/>
    <w:rsid w:val="00987E5B"/>
    <w:rsid w:val="00991620"/>
    <w:rsid w:val="0099633A"/>
    <w:rsid w:val="009968B0"/>
    <w:rsid w:val="009A4CED"/>
    <w:rsid w:val="009A6CB2"/>
    <w:rsid w:val="009A7D32"/>
    <w:rsid w:val="009B0218"/>
    <w:rsid w:val="009B0982"/>
    <w:rsid w:val="009B4C99"/>
    <w:rsid w:val="009B56F3"/>
    <w:rsid w:val="009C13FB"/>
    <w:rsid w:val="009C60AC"/>
    <w:rsid w:val="009C6A4E"/>
    <w:rsid w:val="009C7717"/>
    <w:rsid w:val="009D28CF"/>
    <w:rsid w:val="009E5D36"/>
    <w:rsid w:val="009E6375"/>
    <w:rsid w:val="009E7CA0"/>
    <w:rsid w:val="009F0013"/>
    <w:rsid w:val="00A00CD0"/>
    <w:rsid w:val="00A04392"/>
    <w:rsid w:val="00A044A5"/>
    <w:rsid w:val="00A069CE"/>
    <w:rsid w:val="00A07959"/>
    <w:rsid w:val="00A109D8"/>
    <w:rsid w:val="00A15307"/>
    <w:rsid w:val="00A16003"/>
    <w:rsid w:val="00A167D7"/>
    <w:rsid w:val="00A172F7"/>
    <w:rsid w:val="00A23D39"/>
    <w:rsid w:val="00A23EC2"/>
    <w:rsid w:val="00A24FBB"/>
    <w:rsid w:val="00A30EA4"/>
    <w:rsid w:val="00A3453E"/>
    <w:rsid w:val="00A364B7"/>
    <w:rsid w:val="00A42ED2"/>
    <w:rsid w:val="00A433A1"/>
    <w:rsid w:val="00A44B33"/>
    <w:rsid w:val="00A46D50"/>
    <w:rsid w:val="00A477E7"/>
    <w:rsid w:val="00A50E00"/>
    <w:rsid w:val="00A50FAC"/>
    <w:rsid w:val="00A52529"/>
    <w:rsid w:val="00A53624"/>
    <w:rsid w:val="00A5435C"/>
    <w:rsid w:val="00A55EAF"/>
    <w:rsid w:val="00A5766B"/>
    <w:rsid w:val="00A746D4"/>
    <w:rsid w:val="00A76337"/>
    <w:rsid w:val="00A77512"/>
    <w:rsid w:val="00A81974"/>
    <w:rsid w:val="00A85AB9"/>
    <w:rsid w:val="00A863E3"/>
    <w:rsid w:val="00A94161"/>
    <w:rsid w:val="00A97BFB"/>
    <w:rsid w:val="00AB0BBC"/>
    <w:rsid w:val="00AB3A92"/>
    <w:rsid w:val="00AB478B"/>
    <w:rsid w:val="00AB47AC"/>
    <w:rsid w:val="00AB4AD9"/>
    <w:rsid w:val="00AB6C62"/>
    <w:rsid w:val="00AC2AED"/>
    <w:rsid w:val="00AC3BB1"/>
    <w:rsid w:val="00AC6863"/>
    <w:rsid w:val="00AC7D06"/>
    <w:rsid w:val="00AD6E77"/>
    <w:rsid w:val="00AD7A25"/>
    <w:rsid w:val="00AE2666"/>
    <w:rsid w:val="00AE3A8D"/>
    <w:rsid w:val="00AE478C"/>
    <w:rsid w:val="00AF3A5A"/>
    <w:rsid w:val="00AF3E15"/>
    <w:rsid w:val="00AF5218"/>
    <w:rsid w:val="00AF60A0"/>
    <w:rsid w:val="00AF7F8C"/>
    <w:rsid w:val="00B0004C"/>
    <w:rsid w:val="00B01A6F"/>
    <w:rsid w:val="00B0480E"/>
    <w:rsid w:val="00B06E5C"/>
    <w:rsid w:val="00B1026A"/>
    <w:rsid w:val="00B15691"/>
    <w:rsid w:val="00B21166"/>
    <w:rsid w:val="00B25C60"/>
    <w:rsid w:val="00B263AE"/>
    <w:rsid w:val="00B2714A"/>
    <w:rsid w:val="00B27F2D"/>
    <w:rsid w:val="00B33A6C"/>
    <w:rsid w:val="00B41CD3"/>
    <w:rsid w:val="00B42F17"/>
    <w:rsid w:val="00B43A02"/>
    <w:rsid w:val="00B47091"/>
    <w:rsid w:val="00B5513C"/>
    <w:rsid w:val="00B56534"/>
    <w:rsid w:val="00B57A21"/>
    <w:rsid w:val="00B60791"/>
    <w:rsid w:val="00B61F26"/>
    <w:rsid w:val="00B62C3E"/>
    <w:rsid w:val="00B645DE"/>
    <w:rsid w:val="00B65857"/>
    <w:rsid w:val="00B66698"/>
    <w:rsid w:val="00B72F9A"/>
    <w:rsid w:val="00B73AFB"/>
    <w:rsid w:val="00B745DC"/>
    <w:rsid w:val="00B84350"/>
    <w:rsid w:val="00B855A6"/>
    <w:rsid w:val="00B91098"/>
    <w:rsid w:val="00B91904"/>
    <w:rsid w:val="00B92735"/>
    <w:rsid w:val="00B969ED"/>
    <w:rsid w:val="00BA39A5"/>
    <w:rsid w:val="00BA77F1"/>
    <w:rsid w:val="00BA7C17"/>
    <w:rsid w:val="00BB0D90"/>
    <w:rsid w:val="00BB60C6"/>
    <w:rsid w:val="00BB7984"/>
    <w:rsid w:val="00BC45F7"/>
    <w:rsid w:val="00BC6A06"/>
    <w:rsid w:val="00BD0E02"/>
    <w:rsid w:val="00BD137C"/>
    <w:rsid w:val="00BE3BC7"/>
    <w:rsid w:val="00BE67AB"/>
    <w:rsid w:val="00BF1AB7"/>
    <w:rsid w:val="00BF7FE9"/>
    <w:rsid w:val="00C00A27"/>
    <w:rsid w:val="00C03596"/>
    <w:rsid w:val="00C05EEC"/>
    <w:rsid w:val="00C077B7"/>
    <w:rsid w:val="00C13163"/>
    <w:rsid w:val="00C15A13"/>
    <w:rsid w:val="00C238D9"/>
    <w:rsid w:val="00C24A9D"/>
    <w:rsid w:val="00C24ED2"/>
    <w:rsid w:val="00C2531D"/>
    <w:rsid w:val="00C2677E"/>
    <w:rsid w:val="00C26DD4"/>
    <w:rsid w:val="00C26F72"/>
    <w:rsid w:val="00C313AA"/>
    <w:rsid w:val="00C31542"/>
    <w:rsid w:val="00C5028E"/>
    <w:rsid w:val="00C51A95"/>
    <w:rsid w:val="00C54E78"/>
    <w:rsid w:val="00C6078D"/>
    <w:rsid w:val="00C657CF"/>
    <w:rsid w:val="00C7795B"/>
    <w:rsid w:val="00C77C02"/>
    <w:rsid w:val="00C80D62"/>
    <w:rsid w:val="00C8124B"/>
    <w:rsid w:val="00C8388B"/>
    <w:rsid w:val="00C84944"/>
    <w:rsid w:val="00C90217"/>
    <w:rsid w:val="00C90A72"/>
    <w:rsid w:val="00C96BFD"/>
    <w:rsid w:val="00C96C98"/>
    <w:rsid w:val="00CA49F0"/>
    <w:rsid w:val="00CA5358"/>
    <w:rsid w:val="00CA5D39"/>
    <w:rsid w:val="00CB0B17"/>
    <w:rsid w:val="00CB15B8"/>
    <w:rsid w:val="00CB1DCA"/>
    <w:rsid w:val="00CB5057"/>
    <w:rsid w:val="00CD4304"/>
    <w:rsid w:val="00CD4C07"/>
    <w:rsid w:val="00CD502A"/>
    <w:rsid w:val="00CE012E"/>
    <w:rsid w:val="00CE12D0"/>
    <w:rsid w:val="00CE1B60"/>
    <w:rsid w:val="00CE2A2F"/>
    <w:rsid w:val="00CE4BDE"/>
    <w:rsid w:val="00CE668F"/>
    <w:rsid w:val="00CE6C5C"/>
    <w:rsid w:val="00CF12CF"/>
    <w:rsid w:val="00CF346B"/>
    <w:rsid w:val="00CF3D34"/>
    <w:rsid w:val="00CF4BE3"/>
    <w:rsid w:val="00D060D2"/>
    <w:rsid w:val="00D10946"/>
    <w:rsid w:val="00D13E2D"/>
    <w:rsid w:val="00D14394"/>
    <w:rsid w:val="00D14499"/>
    <w:rsid w:val="00D14A35"/>
    <w:rsid w:val="00D242CD"/>
    <w:rsid w:val="00D26F74"/>
    <w:rsid w:val="00D341C3"/>
    <w:rsid w:val="00D42843"/>
    <w:rsid w:val="00D44B05"/>
    <w:rsid w:val="00D46334"/>
    <w:rsid w:val="00D5152A"/>
    <w:rsid w:val="00D560EB"/>
    <w:rsid w:val="00D64967"/>
    <w:rsid w:val="00D65145"/>
    <w:rsid w:val="00D71DBB"/>
    <w:rsid w:val="00D73D87"/>
    <w:rsid w:val="00D741AE"/>
    <w:rsid w:val="00D74314"/>
    <w:rsid w:val="00D81410"/>
    <w:rsid w:val="00D86344"/>
    <w:rsid w:val="00D86FC0"/>
    <w:rsid w:val="00D92281"/>
    <w:rsid w:val="00D92505"/>
    <w:rsid w:val="00D92B66"/>
    <w:rsid w:val="00D935F7"/>
    <w:rsid w:val="00D96D45"/>
    <w:rsid w:val="00D96DCD"/>
    <w:rsid w:val="00DA267C"/>
    <w:rsid w:val="00DA27B3"/>
    <w:rsid w:val="00DA5101"/>
    <w:rsid w:val="00DA669F"/>
    <w:rsid w:val="00DA7477"/>
    <w:rsid w:val="00DA79EF"/>
    <w:rsid w:val="00DB0C0B"/>
    <w:rsid w:val="00DB3B74"/>
    <w:rsid w:val="00DB5979"/>
    <w:rsid w:val="00DC5870"/>
    <w:rsid w:val="00DC652D"/>
    <w:rsid w:val="00DD0384"/>
    <w:rsid w:val="00DD0901"/>
    <w:rsid w:val="00DD27DD"/>
    <w:rsid w:val="00DD4AB0"/>
    <w:rsid w:val="00DE16B6"/>
    <w:rsid w:val="00DE3323"/>
    <w:rsid w:val="00DE36CA"/>
    <w:rsid w:val="00DE7E63"/>
    <w:rsid w:val="00DF099E"/>
    <w:rsid w:val="00DF73D7"/>
    <w:rsid w:val="00DF77A2"/>
    <w:rsid w:val="00E00C3E"/>
    <w:rsid w:val="00E05384"/>
    <w:rsid w:val="00E11D08"/>
    <w:rsid w:val="00E30A76"/>
    <w:rsid w:val="00E367C5"/>
    <w:rsid w:val="00E37E71"/>
    <w:rsid w:val="00E423BE"/>
    <w:rsid w:val="00E42486"/>
    <w:rsid w:val="00E42847"/>
    <w:rsid w:val="00E46064"/>
    <w:rsid w:val="00E51032"/>
    <w:rsid w:val="00E512A0"/>
    <w:rsid w:val="00E52620"/>
    <w:rsid w:val="00E56462"/>
    <w:rsid w:val="00E604A1"/>
    <w:rsid w:val="00E643EB"/>
    <w:rsid w:val="00E7293C"/>
    <w:rsid w:val="00E73AA8"/>
    <w:rsid w:val="00E76812"/>
    <w:rsid w:val="00E76C95"/>
    <w:rsid w:val="00E80228"/>
    <w:rsid w:val="00E828C1"/>
    <w:rsid w:val="00E86D2A"/>
    <w:rsid w:val="00E8711A"/>
    <w:rsid w:val="00E9549B"/>
    <w:rsid w:val="00E954C2"/>
    <w:rsid w:val="00EA2ED4"/>
    <w:rsid w:val="00EA491A"/>
    <w:rsid w:val="00EB0033"/>
    <w:rsid w:val="00EB0C9E"/>
    <w:rsid w:val="00EB1583"/>
    <w:rsid w:val="00EB54A9"/>
    <w:rsid w:val="00EC23FB"/>
    <w:rsid w:val="00EC49DC"/>
    <w:rsid w:val="00EC68EC"/>
    <w:rsid w:val="00EC7017"/>
    <w:rsid w:val="00ED0BE8"/>
    <w:rsid w:val="00ED4356"/>
    <w:rsid w:val="00ED7681"/>
    <w:rsid w:val="00EE10D5"/>
    <w:rsid w:val="00EE173C"/>
    <w:rsid w:val="00EE243C"/>
    <w:rsid w:val="00EF63C6"/>
    <w:rsid w:val="00F034FB"/>
    <w:rsid w:val="00F05606"/>
    <w:rsid w:val="00F105F5"/>
    <w:rsid w:val="00F1075A"/>
    <w:rsid w:val="00F14CFC"/>
    <w:rsid w:val="00F22E82"/>
    <w:rsid w:val="00F2483A"/>
    <w:rsid w:val="00F30089"/>
    <w:rsid w:val="00F30665"/>
    <w:rsid w:val="00F337BF"/>
    <w:rsid w:val="00F33B87"/>
    <w:rsid w:val="00F33D14"/>
    <w:rsid w:val="00F34AB8"/>
    <w:rsid w:val="00F35A04"/>
    <w:rsid w:val="00F40D28"/>
    <w:rsid w:val="00F42F9F"/>
    <w:rsid w:val="00F473B6"/>
    <w:rsid w:val="00F52E57"/>
    <w:rsid w:val="00F53E06"/>
    <w:rsid w:val="00F54188"/>
    <w:rsid w:val="00F54CC0"/>
    <w:rsid w:val="00F6588E"/>
    <w:rsid w:val="00F727A5"/>
    <w:rsid w:val="00F847A9"/>
    <w:rsid w:val="00F965C0"/>
    <w:rsid w:val="00FA3D61"/>
    <w:rsid w:val="00FA56AF"/>
    <w:rsid w:val="00FA5FE9"/>
    <w:rsid w:val="00FA67D2"/>
    <w:rsid w:val="00FB1990"/>
    <w:rsid w:val="00FB302F"/>
    <w:rsid w:val="00FB5A92"/>
    <w:rsid w:val="00FC1C69"/>
    <w:rsid w:val="00FC3739"/>
    <w:rsid w:val="00FC3778"/>
    <w:rsid w:val="00FC4270"/>
    <w:rsid w:val="00FD00D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FBDEAEC"/>
  <w15:chartTrackingRefBased/>
  <w15:docId w15:val="{46539035-3757-4751-918A-896DC7B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A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abel3">
    <w:name w:val="label3"/>
    <w:basedOn w:val="DefaultParagraphFont"/>
    <w:rsid w:val="00BE67AB"/>
  </w:style>
  <w:style w:type="paragraph" w:customStyle="1" w:styleId="text5">
    <w:name w:val="text5"/>
    <w:basedOn w:val="Normal"/>
    <w:rsid w:val="00BE67AB"/>
    <w:pPr>
      <w:keepLines w:val="0"/>
      <w:spacing w:before="83" w:after="216" w:line="288" w:lineRule="atLeast"/>
    </w:pPr>
    <w:rPr>
      <w:rFonts w:ascii="Times New Roman" w:eastAsia="Times New Roman" w:hAnsi="Times New Roman"/>
      <w:lang w:eastAsia="en-NZ"/>
    </w:rPr>
  </w:style>
  <w:style w:type="paragraph" w:styleId="CommentText">
    <w:name w:val="annotation text"/>
    <w:basedOn w:val="Normal"/>
    <w:link w:val="CommentTextChar"/>
    <w:uiPriority w:val="99"/>
    <w:semiHidden/>
    <w:unhideWhenUsed/>
    <w:rsid w:val="00D86FC0"/>
    <w:rPr>
      <w:sz w:val="20"/>
      <w:szCs w:val="20"/>
    </w:rPr>
  </w:style>
  <w:style w:type="character" w:customStyle="1" w:styleId="CommentTextChar">
    <w:name w:val="Comment Text Char"/>
    <w:basedOn w:val="DefaultParagraphFont"/>
    <w:link w:val="CommentText"/>
    <w:uiPriority w:val="99"/>
    <w:semiHidden/>
    <w:rsid w:val="00D86FC0"/>
    <w:rPr>
      <w:sz w:val="20"/>
      <w:szCs w:val="20"/>
      <w:lang w:eastAsia="en-US"/>
    </w:rPr>
  </w:style>
  <w:style w:type="paragraph" w:styleId="CommentSubject">
    <w:name w:val="annotation subject"/>
    <w:basedOn w:val="CommentText"/>
    <w:next w:val="CommentText"/>
    <w:link w:val="CommentSubjectChar"/>
    <w:uiPriority w:val="99"/>
    <w:semiHidden/>
    <w:unhideWhenUsed/>
    <w:rsid w:val="00D86FC0"/>
    <w:rPr>
      <w:b/>
      <w:bCs/>
    </w:rPr>
  </w:style>
  <w:style w:type="character" w:customStyle="1" w:styleId="CommentSubjectChar">
    <w:name w:val="Comment Subject Char"/>
    <w:basedOn w:val="CommentTextChar"/>
    <w:link w:val="CommentSubject"/>
    <w:uiPriority w:val="99"/>
    <w:semiHidden/>
    <w:rsid w:val="00D86FC0"/>
    <w:rPr>
      <w:b/>
      <w:bCs/>
      <w:sz w:val="20"/>
      <w:szCs w:val="20"/>
      <w:lang w:eastAsia="en-US"/>
    </w:rPr>
  </w:style>
  <w:style w:type="paragraph" w:customStyle="1" w:styleId="Default">
    <w:name w:val="Default"/>
    <w:rsid w:val="00FC3778"/>
    <w:pPr>
      <w:autoSpaceDE w:val="0"/>
      <w:autoSpaceDN w:val="0"/>
      <w:adjustRightInd w:val="0"/>
      <w:spacing w:before="0" w:after="0"/>
    </w:pPr>
    <w:rPr>
      <w:rFonts w:ascii="Arial" w:hAnsi="Arial" w:cs="Arial"/>
      <w:color w:val="000000"/>
    </w:rPr>
  </w:style>
  <w:style w:type="paragraph" w:customStyle="1" w:styleId="paragraph">
    <w:name w:val="paragraph"/>
    <w:basedOn w:val="Normal"/>
    <w:rsid w:val="00EE10D5"/>
    <w:pPr>
      <w:keepLines w:val="0"/>
      <w:spacing w:before="100" w:beforeAutospacing="1" w:after="100" w:afterAutospacing="1"/>
    </w:pPr>
    <w:rPr>
      <w:rFonts w:ascii="Times New Roman" w:eastAsia="Times New Roman" w:hAnsi="Times New Roman"/>
      <w:lang w:eastAsia="en-NZ"/>
    </w:rPr>
  </w:style>
  <w:style w:type="character" w:customStyle="1" w:styleId="normaltextrun">
    <w:name w:val="normaltextrun"/>
    <w:basedOn w:val="DefaultParagraphFont"/>
    <w:rsid w:val="00EE10D5"/>
  </w:style>
  <w:style w:type="character" w:customStyle="1" w:styleId="eop">
    <w:name w:val="eop"/>
    <w:basedOn w:val="DefaultParagraphFont"/>
    <w:rsid w:val="00EE10D5"/>
  </w:style>
  <w:style w:type="paragraph" w:customStyle="1" w:styleId="xmsonormal">
    <w:name w:val="x_msonormal"/>
    <w:basedOn w:val="Normal"/>
    <w:rsid w:val="00C77C02"/>
    <w:pPr>
      <w:keepLines w:val="0"/>
      <w:spacing w:before="0" w:after="0"/>
    </w:pPr>
    <w:rPr>
      <w:rFonts w:cs="Calibri"/>
      <w:sz w:val="22"/>
      <w:szCs w:val="22"/>
      <w:lang w:eastAsia="en-NZ"/>
    </w:rPr>
  </w:style>
  <w:style w:type="paragraph" w:customStyle="1" w:styleId="xmsolistparagraph">
    <w:name w:val="x_msolistparagraph"/>
    <w:basedOn w:val="Normal"/>
    <w:rsid w:val="00C77C02"/>
    <w:pPr>
      <w:keepLines w:val="0"/>
      <w:spacing w:before="0" w:after="0"/>
      <w:ind w:left="720"/>
    </w:pPr>
    <w:rPr>
      <w:rFonts w:cs="Calibri"/>
      <w:sz w:val="22"/>
      <w:szCs w:val="22"/>
      <w:lang w:eastAsia="en-NZ"/>
    </w:rPr>
  </w:style>
  <w:style w:type="character" w:customStyle="1" w:styleId="sr-only">
    <w:name w:val="sr-only"/>
    <w:basedOn w:val="DefaultParagraphFont"/>
    <w:rsid w:val="00D9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904">
      <w:bodyDiv w:val="1"/>
      <w:marLeft w:val="0"/>
      <w:marRight w:val="0"/>
      <w:marTop w:val="0"/>
      <w:marBottom w:val="0"/>
      <w:divBdr>
        <w:top w:val="none" w:sz="0" w:space="0" w:color="auto"/>
        <w:left w:val="none" w:sz="0" w:space="0" w:color="auto"/>
        <w:bottom w:val="none" w:sz="0" w:space="0" w:color="auto"/>
        <w:right w:val="none" w:sz="0" w:space="0" w:color="auto"/>
      </w:divBdr>
      <w:divsChild>
        <w:div w:id="402800007">
          <w:marLeft w:val="0"/>
          <w:marRight w:val="0"/>
          <w:marTop w:val="0"/>
          <w:marBottom w:val="0"/>
          <w:divBdr>
            <w:top w:val="none" w:sz="0" w:space="0" w:color="auto"/>
            <w:left w:val="none" w:sz="0" w:space="0" w:color="auto"/>
            <w:bottom w:val="none" w:sz="0" w:space="0" w:color="auto"/>
            <w:right w:val="none" w:sz="0" w:space="0" w:color="auto"/>
          </w:divBdr>
          <w:divsChild>
            <w:div w:id="726102518">
              <w:marLeft w:val="0"/>
              <w:marRight w:val="0"/>
              <w:marTop w:val="0"/>
              <w:marBottom w:val="0"/>
              <w:divBdr>
                <w:top w:val="none" w:sz="0" w:space="0" w:color="auto"/>
                <w:left w:val="none" w:sz="0" w:space="0" w:color="auto"/>
                <w:bottom w:val="none" w:sz="0" w:space="0" w:color="auto"/>
                <w:right w:val="none" w:sz="0" w:space="0" w:color="auto"/>
              </w:divBdr>
              <w:divsChild>
                <w:div w:id="1406873971">
                  <w:marLeft w:val="0"/>
                  <w:marRight w:val="0"/>
                  <w:marTop w:val="105"/>
                  <w:marBottom w:val="0"/>
                  <w:divBdr>
                    <w:top w:val="none" w:sz="0" w:space="0" w:color="auto"/>
                    <w:left w:val="none" w:sz="0" w:space="0" w:color="auto"/>
                    <w:bottom w:val="none" w:sz="0" w:space="0" w:color="auto"/>
                    <w:right w:val="none" w:sz="0" w:space="0" w:color="auto"/>
                  </w:divBdr>
                  <w:divsChild>
                    <w:div w:id="614094232">
                      <w:marLeft w:val="450"/>
                      <w:marRight w:val="225"/>
                      <w:marTop w:val="0"/>
                      <w:marBottom w:val="0"/>
                      <w:divBdr>
                        <w:top w:val="none" w:sz="0" w:space="0" w:color="auto"/>
                        <w:left w:val="none" w:sz="0" w:space="0" w:color="auto"/>
                        <w:bottom w:val="none" w:sz="0" w:space="0" w:color="auto"/>
                        <w:right w:val="none" w:sz="0" w:space="0" w:color="auto"/>
                      </w:divBdr>
                      <w:divsChild>
                        <w:div w:id="2134592688">
                          <w:marLeft w:val="0"/>
                          <w:marRight w:val="0"/>
                          <w:marTop w:val="0"/>
                          <w:marBottom w:val="600"/>
                          <w:divBdr>
                            <w:top w:val="single" w:sz="6" w:space="0" w:color="314664"/>
                            <w:left w:val="single" w:sz="6" w:space="0" w:color="314664"/>
                            <w:bottom w:val="single" w:sz="6" w:space="0" w:color="314664"/>
                            <w:right w:val="single" w:sz="6" w:space="0" w:color="314664"/>
                          </w:divBdr>
                          <w:divsChild>
                            <w:div w:id="1119884186">
                              <w:marLeft w:val="0"/>
                              <w:marRight w:val="0"/>
                              <w:marTop w:val="0"/>
                              <w:marBottom w:val="0"/>
                              <w:divBdr>
                                <w:top w:val="none" w:sz="0" w:space="0" w:color="auto"/>
                                <w:left w:val="none" w:sz="0" w:space="0" w:color="auto"/>
                                <w:bottom w:val="none" w:sz="0" w:space="0" w:color="auto"/>
                                <w:right w:val="none" w:sz="0" w:space="0" w:color="auto"/>
                              </w:divBdr>
                              <w:divsChild>
                                <w:div w:id="568536092">
                                  <w:marLeft w:val="0"/>
                                  <w:marRight w:val="0"/>
                                  <w:marTop w:val="0"/>
                                  <w:marBottom w:val="0"/>
                                  <w:divBdr>
                                    <w:top w:val="none" w:sz="0" w:space="0" w:color="auto"/>
                                    <w:left w:val="none" w:sz="0" w:space="0" w:color="auto"/>
                                    <w:bottom w:val="none" w:sz="0" w:space="0" w:color="auto"/>
                                    <w:right w:val="none" w:sz="0" w:space="0" w:color="auto"/>
                                  </w:divBdr>
                                  <w:divsChild>
                                    <w:div w:id="1687361278">
                                      <w:marLeft w:val="0"/>
                                      <w:marRight w:val="0"/>
                                      <w:marTop w:val="0"/>
                                      <w:marBottom w:val="0"/>
                                      <w:divBdr>
                                        <w:top w:val="none" w:sz="0" w:space="0" w:color="auto"/>
                                        <w:left w:val="none" w:sz="0" w:space="0" w:color="auto"/>
                                        <w:bottom w:val="none" w:sz="0" w:space="0" w:color="auto"/>
                                        <w:right w:val="none" w:sz="0" w:space="0" w:color="auto"/>
                                      </w:divBdr>
                                      <w:divsChild>
                                        <w:div w:id="1225212695">
                                          <w:marLeft w:val="0"/>
                                          <w:marRight w:val="0"/>
                                          <w:marTop w:val="0"/>
                                          <w:marBottom w:val="0"/>
                                          <w:divBdr>
                                            <w:top w:val="none" w:sz="0" w:space="0" w:color="auto"/>
                                            <w:left w:val="none" w:sz="0" w:space="0" w:color="auto"/>
                                            <w:bottom w:val="none" w:sz="0" w:space="0" w:color="auto"/>
                                            <w:right w:val="none" w:sz="0" w:space="0" w:color="auto"/>
                                          </w:divBdr>
                                          <w:divsChild>
                                            <w:div w:id="1381051517">
                                              <w:marLeft w:val="0"/>
                                              <w:marRight w:val="0"/>
                                              <w:marTop w:val="0"/>
                                              <w:marBottom w:val="0"/>
                                              <w:divBdr>
                                                <w:top w:val="none" w:sz="0" w:space="0" w:color="auto"/>
                                                <w:left w:val="none" w:sz="0" w:space="0" w:color="auto"/>
                                                <w:bottom w:val="none" w:sz="0" w:space="0" w:color="auto"/>
                                                <w:right w:val="none" w:sz="0" w:space="0" w:color="auto"/>
                                              </w:divBdr>
                                              <w:divsChild>
                                                <w:div w:id="304511240">
                                                  <w:marLeft w:val="0"/>
                                                  <w:marRight w:val="0"/>
                                                  <w:marTop w:val="0"/>
                                                  <w:marBottom w:val="0"/>
                                                  <w:divBdr>
                                                    <w:top w:val="none" w:sz="0" w:space="0" w:color="auto"/>
                                                    <w:left w:val="none" w:sz="0" w:space="0" w:color="auto"/>
                                                    <w:bottom w:val="none" w:sz="0" w:space="0" w:color="auto"/>
                                                    <w:right w:val="none" w:sz="0" w:space="0" w:color="auto"/>
                                                  </w:divBdr>
                                                  <w:divsChild>
                                                    <w:div w:id="948589030">
                                                      <w:marLeft w:val="0"/>
                                                      <w:marRight w:val="0"/>
                                                      <w:marTop w:val="0"/>
                                                      <w:marBottom w:val="0"/>
                                                      <w:divBdr>
                                                        <w:top w:val="none" w:sz="0" w:space="0" w:color="auto"/>
                                                        <w:left w:val="none" w:sz="0" w:space="0" w:color="auto"/>
                                                        <w:bottom w:val="none" w:sz="0" w:space="0" w:color="auto"/>
                                                        <w:right w:val="none" w:sz="0" w:space="0" w:color="auto"/>
                                                      </w:divBdr>
                                                      <w:divsChild>
                                                        <w:div w:id="867525510">
                                                          <w:marLeft w:val="0"/>
                                                          <w:marRight w:val="0"/>
                                                          <w:marTop w:val="0"/>
                                                          <w:marBottom w:val="0"/>
                                                          <w:divBdr>
                                                            <w:top w:val="none" w:sz="0" w:space="0" w:color="auto"/>
                                                            <w:left w:val="none" w:sz="0" w:space="0" w:color="auto"/>
                                                            <w:bottom w:val="none" w:sz="0" w:space="0" w:color="auto"/>
                                                            <w:right w:val="none" w:sz="0" w:space="0" w:color="auto"/>
                                                          </w:divBdr>
                                                          <w:divsChild>
                                                            <w:div w:id="592594867">
                                                              <w:marLeft w:val="0"/>
                                                              <w:marRight w:val="0"/>
                                                              <w:marTop w:val="0"/>
                                                              <w:marBottom w:val="0"/>
                                                              <w:divBdr>
                                                                <w:top w:val="none" w:sz="0" w:space="0" w:color="auto"/>
                                                                <w:left w:val="none" w:sz="0" w:space="0" w:color="auto"/>
                                                                <w:bottom w:val="none" w:sz="0" w:space="0" w:color="auto"/>
                                                                <w:right w:val="none" w:sz="0" w:space="0" w:color="auto"/>
                                                              </w:divBdr>
                                                              <w:divsChild>
                                                                <w:div w:id="1185249816">
                                                                  <w:marLeft w:val="0"/>
                                                                  <w:marRight w:val="0"/>
                                                                  <w:marTop w:val="0"/>
                                                                  <w:marBottom w:val="0"/>
                                                                  <w:divBdr>
                                                                    <w:top w:val="none" w:sz="0" w:space="0" w:color="auto"/>
                                                                    <w:left w:val="none" w:sz="0" w:space="0" w:color="auto"/>
                                                                    <w:bottom w:val="none" w:sz="0" w:space="0" w:color="auto"/>
                                                                    <w:right w:val="none" w:sz="0" w:space="0" w:color="auto"/>
                                                                  </w:divBdr>
                                                                  <w:divsChild>
                                                                    <w:div w:id="324018460">
                                                                      <w:marLeft w:val="0"/>
                                                                      <w:marRight w:val="0"/>
                                                                      <w:marTop w:val="83"/>
                                                                      <w:marBottom w:val="0"/>
                                                                      <w:divBdr>
                                                                        <w:top w:val="none" w:sz="0" w:space="0" w:color="auto"/>
                                                                        <w:left w:val="none" w:sz="0" w:space="0" w:color="auto"/>
                                                                        <w:bottom w:val="none" w:sz="0" w:space="0" w:color="auto"/>
                                                                        <w:right w:val="none" w:sz="0" w:space="0" w:color="auto"/>
                                                                      </w:divBdr>
                                                                      <w:divsChild>
                                                                        <w:div w:id="1101491806">
                                                                          <w:marLeft w:val="0"/>
                                                                          <w:marRight w:val="0"/>
                                                                          <w:marTop w:val="0"/>
                                                                          <w:marBottom w:val="0"/>
                                                                          <w:divBdr>
                                                                            <w:top w:val="none" w:sz="0" w:space="0" w:color="auto"/>
                                                                            <w:left w:val="none" w:sz="0" w:space="0" w:color="auto"/>
                                                                            <w:bottom w:val="none" w:sz="0" w:space="0" w:color="auto"/>
                                                                            <w:right w:val="none" w:sz="0" w:space="0" w:color="auto"/>
                                                                          </w:divBdr>
                                                                          <w:divsChild>
                                                                            <w:div w:id="270430955">
                                                                              <w:marLeft w:val="0"/>
                                                                              <w:marRight w:val="0"/>
                                                                              <w:marTop w:val="83"/>
                                                                              <w:marBottom w:val="0"/>
                                                                              <w:divBdr>
                                                                                <w:top w:val="none" w:sz="0" w:space="0" w:color="auto"/>
                                                                                <w:left w:val="none" w:sz="0" w:space="0" w:color="auto"/>
                                                                                <w:bottom w:val="none" w:sz="0" w:space="0" w:color="auto"/>
                                                                                <w:right w:val="none" w:sz="0" w:space="0" w:color="auto"/>
                                                                              </w:divBdr>
                                                                            </w:div>
                                                                          </w:divsChild>
                                                                        </w:div>
                                                                        <w:div w:id="2101875972">
                                                                          <w:marLeft w:val="0"/>
                                                                          <w:marRight w:val="0"/>
                                                                          <w:marTop w:val="0"/>
                                                                          <w:marBottom w:val="0"/>
                                                                          <w:divBdr>
                                                                            <w:top w:val="none" w:sz="0" w:space="0" w:color="auto"/>
                                                                            <w:left w:val="none" w:sz="0" w:space="0" w:color="auto"/>
                                                                            <w:bottom w:val="none" w:sz="0" w:space="0" w:color="auto"/>
                                                                            <w:right w:val="none" w:sz="0" w:space="0" w:color="auto"/>
                                                                          </w:divBdr>
                                                                          <w:divsChild>
                                                                            <w:div w:id="1131482436">
                                                                              <w:marLeft w:val="0"/>
                                                                              <w:marRight w:val="0"/>
                                                                              <w:marTop w:val="83"/>
                                                                              <w:marBottom w:val="0"/>
                                                                              <w:divBdr>
                                                                                <w:top w:val="none" w:sz="0" w:space="0" w:color="auto"/>
                                                                                <w:left w:val="none" w:sz="0" w:space="0" w:color="auto"/>
                                                                                <w:bottom w:val="none" w:sz="0" w:space="0" w:color="auto"/>
                                                                                <w:right w:val="none" w:sz="0" w:space="0" w:color="auto"/>
                                                                              </w:divBdr>
                                                                            </w:div>
                                                                          </w:divsChild>
                                                                        </w:div>
                                                                        <w:div w:id="2120953348">
                                                                          <w:marLeft w:val="0"/>
                                                                          <w:marRight w:val="0"/>
                                                                          <w:marTop w:val="0"/>
                                                                          <w:marBottom w:val="0"/>
                                                                          <w:divBdr>
                                                                            <w:top w:val="none" w:sz="0" w:space="0" w:color="auto"/>
                                                                            <w:left w:val="none" w:sz="0" w:space="0" w:color="auto"/>
                                                                            <w:bottom w:val="none" w:sz="0" w:space="0" w:color="auto"/>
                                                                            <w:right w:val="none" w:sz="0" w:space="0" w:color="auto"/>
                                                                          </w:divBdr>
                                                                          <w:divsChild>
                                                                            <w:div w:id="1357971526">
                                                                              <w:marLeft w:val="0"/>
                                                                              <w:marRight w:val="0"/>
                                                                              <w:marTop w:val="83"/>
                                                                              <w:marBottom w:val="0"/>
                                                                              <w:divBdr>
                                                                                <w:top w:val="none" w:sz="0" w:space="0" w:color="auto"/>
                                                                                <w:left w:val="none" w:sz="0" w:space="0" w:color="auto"/>
                                                                                <w:bottom w:val="none" w:sz="0" w:space="0" w:color="auto"/>
                                                                                <w:right w:val="none" w:sz="0" w:space="0" w:color="auto"/>
                                                                              </w:divBdr>
                                                                            </w:div>
                                                                          </w:divsChild>
                                                                        </w:div>
                                                                        <w:div w:id="129174552">
                                                                          <w:marLeft w:val="0"/>
                                                                          <w:marRight w:val="0"/>
                                                                          <w:marTop w:val="0"/>
                                                                          <w:marBottom w:val="0"/>
                                                                          <w:divBdr>
                                                                            <w:top w:val="none" w:sz="0" w:space="0" w:color="auto"/>
                                                                            <w:left w:val="none" w:sz="0" w:space="0" w:color="auto"/>
                                                                            <w:bottom w:val="none" w:sz="0" w:space="0" w:color="auto"/>
                                                                            <w:right w:val="none" w:sz="0" w:space="0" w:color="auto"/>
                                                                          </w:divBdr>
                                                                          <w:divsChild>
                                                                            <w:div w:id="1394306152">
                                                                              <w:marLeft w:val="0"/>
                                                                              <w:marRight w:val="0"/>
                                                                              <w:marTop w:val="83"/>
                                                                              <w:marBottom w:val="0"/>
                                                                              <w:divBdr>
                                                                                <w:top w:val="none" w:sz="0" w:space="0" w:color="auto"/>
                                                                                <w:left w:val="none" w:sz="0" w:space="0" w:color="auto"/>
                                                                                <w:bottom w:val="none" w:sz="0" w:space="0" w:color="auto"/>
                                                                                <w:right w:val="none" w:sz="0" w:space="0" w:color="auto"/>
                                                                              </w:divBdr>
                                                                            </w:div>
                                                                          </w:divsChild>
                                                                        </w:div>
                                                                        <w:div w:id="1333099509">
                                                                          <w:marLeft w:val="0"/>
                                                                          <w:marRight w:val="0"/>
                                                                          <w:marTop w:val="0"/>
                                                                          <w:marBottom w:val="0"/>
                                                                          <w:divBdr>
                                                                            <w:top w:val="none" w:sz="0" w:space="0" w:color="auto"/>
                                                                            <w:left w:val="none" w:sz="0" w:space="0" w:color="auto"/>
                                                                            <w:bottom w:val="none" w:sz="0" w:space="0" w:color="auto"/>
                                                                            <w:right w:val="none" w:sz="0" w:space="0" w:color="auto"/>
                                                                          </w:divBdr>
                                                                          <w:divsChild>
                                                                            <w:div w:id="1756579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68841">
      <w:bodyDiv w:val="1"/>
      <w:marLeft w:val="0"/>
      <w:marRight w:val="0"/>
      <w:marTop w:val="0"/>
      <w:marBottom w:val="0"/>
      <w:divBdr>
        <w:top w:val="none" w:sz="0" w:space="0" w:color="auto"/>
        <w:left w:val="none" w:sz="0" w:space="0" w:color="auto"/>
        <w:bottom w:val="none" w:sz="0" w:space="0" w:color="auto"/>
        <w:right w:val="none" w:sz="0" w:space="0" w:color="auto"/>
      </w:divBdr>
    </w:div>
    <w:div w:id="247663243">
      <w:bodyDiv w:val="1"/>
      <w:marLeft w:val="0"/>
      <w:marRight w:val="0"/>
      <w:marTop w:val="0"/>
      <w:marBottom w:val="0"/>
      <w:divBdr>
        <w:top w:val="none" w:sz="0" w:space="0" w:color="auto"/>
        <w:left w:val="none" w:sz="0" w:space="0" w:color="auto"/>
        <w:bottom w:val="none" w:sz="0" w:space="0" w:color="auto"/>
        <w:right w:val="none" w:sz="0" w:space="0" w:color="auto"/>
      </w:divBdr>
    </w:div>
    <w:div w:id="320623366">
      <w:bodyDiv w:val="1"/>
      <w:marLeft w:val="0"/>
      <w:marRight w:val="0"/>
      <w:marTop w:val="0"/>
      <w:marBottom w:val="0"/>
      <w:divBdr>
        <w:top w:val="none" w:sz="0" w:space="0" w:color="auto"/>
        <w:left w:val="none" w:sz="0" w:space="0" w:color="auto"/>
        <w:bottom w:val="none" w:sz="0" w:space="0" w:color="auto"/>
        <w:right w:val="none" w:sz="0" w:space="0" w:color="auto"/>
      </w:divBdr>
    </w:div>
    <w:div w:id="346761063">
      <w:bodyDiv w:val="1"/>
      <w:marLeft w:val="0"/>
      <w:marRight w:val="0"/>
      <w:marTop w:val="0"/>
      <w:marBottom w:val="0"/>
      <w:divBdr>
        <w:top w:val="none" w:sz="0" w:space="0" w:color="auto"/>
        <w:left w:val="none" w:sz="0" w:space="0" w:color="auto"/>
        <w:bottom w:val="none" w:sz="0" w:space="0" w:color="auto"/>
        <w:right w:val="none" w:sz="0" w:space="0" w:color="auto"/>
      </w:divBdr>
    </w:div>
    <w:div w:id="375544292">
      <w:bodyDiv w:val="1"/>
      <w:marLeft w:val="0"/>
      <w:marRight w:val="0"/>
      <w:marTop w:val="0"/>
      <w:marBottom w:val="0"/>
      <w:divBdr>
        <w:top w:val="none" w:sz="0" w:space="0" w:color="auto"/>
        <w:left w:val="none" w:sz="0" w:space="0" w:color="auto"/>
        <w:bottom w:val="none" w:sz="0" w:space="0" w:color="auto"/>
        <w:right w:val="none" w:sz="0" w:space="0" w:color="auto"/>
      </w:divBdr>
    </w:div>
    <w:div w:id="551507328">
      <w:bodyDiv w:val="1"/>
      <w:marLeft w:val="0"/>
      <w:marRight w:val="0"/>
      <w:marTop w:val="0"/>
      <w:marBottom w:val="0"/>
      <w:divBdr>
        <w:top w:val="none" w:sz="0" w:space="0" w:color="auto"/>
        <w:left w:val="none" w:sz="0" w:space="0" w:color="auto"/>
        <w:bottom w:val="none" w:sz="0" w:space="0" w:color="auto"/>
        <w:right w:val="none" w:sz="0" w:space="0" w:color="auto"/>
      </w:divBdr>
    </w:div>
    <w:div w:id="685517771">
      <w:bodyDiv w:val="1"/>
      <w:marLeft w:val="0"/>
      <w:marRight w:val="0"/>
      <w:marTop w:val="0"/>
      <w:marBottom w:val="0"/>
      <w:divBdr>
        <w:top w:val="none" w:sz="0" w:space="0" w:color="auto"/>
        <w:left w:val="none" w:sz="0" w:space="0" w:color="auto"/>
        <w:bottom w:val="none" w:sz="0" w:space="0" w:color="auto"/>
        <w:right w:val="none" w:sz="0" w:space="0" w:color="auto"/>
      </w:divBdr>
    </w:div>
    <w:div w:id="696469063">
      <w:bodyDiv w:val="1"/>
      <w:marLeft w:val="0"/>
      <w:marRight w:val="0"/>
      <w:marTop w:val="0"/>
      <w:marBottom w:val="0"/>
      <w:divBdr>
        <w:top w:val="none" w:sz="0" w:space="0" w:color="auto"/>
        <w:left w:val="none" w:sz="0" w:space="0" w:color="auto"/>
        <w:bottom w:val="none" w:sz="0" w:space="0" w:color="auto"/>
        <w:right w:val="none" w:sz="0" w:space="0" w:color="auto"/>
      </w:divBdr>
    </w:div>
    <w:div w:id="947663946">
      <w:bodyDiv w:val="1"/>
      <w:marLeft w:val="0"/>
      <w:marRight w:val="0"/>
      <w:marTop w:val="0"/>
      <w:marBottom w:val="0"/>
      <w:divBdr>
        <w:top w:val="none" w:sz="0" w:space="0" w:color="auto"/>
        <w:left w:val="none" w:sz="0" w:space="0" w:color="auto"/>
        <w:bottom w:val="none" w:sz="0" w:space="0" w:color="auto"/>
        <w:right w:val="none" w:sz="0" w:space="0" w:color="auto"/>
      </w:divBdr>
    </w:div>
    <w:div w:id="985739971">
      <w:bodyDiv w:val="1"/>
      <w:marLeft w:val="0"/>
      <w:marRight w:val="0"/>
      <w:marTop w:val="0"/>
      <w:marBottom w:val="0"/>
      <w:divBdr>
        <w:top w:val="none" w:sz="0" w:space="0" w:color="auto"/>
        <w:left w:val="none" w:sz="0" w:space="0" w:color="auto"/>
        <w:bottom w:val="none" w:sz="0" w:space="0" w:color="auto"/>
        <w:right w:val="none" w:sz="0" w:space="0" w:color="auto"/>
      </w:divBdr>
    </w:div>
    <w:div w:id="1075322481">
      <w:bodyDiv w:val="1"/>
      <w:marLeft w:val="0"/>
      <w:marRight w:val="0"/>
      <w:marTop w:val="0"/>
      <w:marBottom w:val="0"/>
      <w:divBdr>
        <w:top w:val="none" w:sz="0" w:space="0" w:color="auto"/>
        <w:left w:val="none" w:sz="0" w:space="0" w:color="auto"/>
        <w:bottom w:val="none" w:sz="0" w:space="0" w:color="auto"/>
        <w:right w:val="none" w:sz="0" w:space="0" w:color="auto"/>
      </w:divBdr>
    </w:div>
    <w:div w:id="1087069299">
      <w:bodyDiv w:val="1"/>
      <w:marLeft w:val="0"/>
      <w:marRight w:val="0"/>
      <w:marTop w:val="0"/>
      <w:marBottom w:val="0"/>
      <w:divBdr>
        <w:top w:val="none" w:sz="0" w:space="0" w:color="auto"/>
        <w:left w:val="none" w:sz="0" w:space="0" w:color="auto"/>
        <w:bottom w:val="none" w:sz="0" w:space="0" w:color="auto"/>
        <w:right w:val="none" w:sz="0" w:space="0" w:color="auto"/>
      </w:divBdr>
    </w:div>
    <w:div w:id="1096365263">
      <w:bodyDiv w:val="1"/>
      <w:marLeft w:val="0"/>
      <w:marRight w:val="0"/>
      <w:marTop w:val="0"/>
      <w:marBottom w:val="0"/>
      <w:divBdr>
        <w:top w:val="none" w:sz="0" w:space="0" w:color="auto"/>
        <w:left w:val="none" w:sz="0" w:space="0" w:color="auto"/>
        <w:bottom w:val="none" w:sz="0" w:space="0" w:color="auto"/>
        <w:right w:val="none" w:sz="0" w:space="0" w:color="auto"/>
      </w:divBdr>
    </w:div>
    <w:div w:id="1228759068">
      <w:bodyDiv w:val="1"/>
      <w:marLeft w:val="0"/>
      <w:marRight w:val="0"/>
      <w:marTop w:val="0"/>
      <w:marBottom w:val="0"/>
      <w:divBdr>
        <w:top w:val="none" w:sz="0" w:space="0" w:color="auto"/>
        <w:left w:val="none" w:sz="0" w:space="0" w:color="auto"/>
        <w:bottom w:val="none" w:sz="0" w:space="0" w:color="auto"/>
        <w:right w:val="none" w:sz="0" w:space="0" w:color="auto"/>
      </w:divBdr>
    </w:div>
    <w:div w:id="1258903771">
      <w:bodyDiv w:val="1"/>
      <w:marLeft w:val="0"/>
      <w:marRight w:val="0"/>
      <w:marTop w:val="0"/>
      <w:marBottom w:val="0"/>
      <w:divBdr>
        <w:top w:val="none" w:sz="0" w:space="0" w:color="auto"/>
        <w:left w:val="none" w:sz="0" w:space="0" w:color="auto"/>
        <w:bottom w:val="none" w:sz="0" w:space="0" w:color="auto"/>
        <w:right w:val="none" w:sz="0" w:space="0" w:color="auto"/>
      </w:divBdr>
    </w:div>
    <w:div w:id="1289119827">
      <w:bodyDiv w:val="1"/>
      <w:marLeft w:val="0"/>
      <w:marRight w:val="0"/>
      <w:marTop w:val="0"/>
      <w:marBottom w:val="0"/>
      <w:divBdr>
        <w:top w:val="none" w:sz="0" w:space="0" w:color="auto"/>
        <w:left w:val="none" w:sz="0" w:space="0" w:color="auto"/>
        <w:bottom w:val="none" w:sz="0" w:space="0" w:color="auto"/>
        <w:right w:val="none" w:sz="0" w:space="0" w:color="auto"/>
      </w:divBdr>
    </w:div>
    <w:div w:id="1607690148">
      <w:bodyDiv w:val="1"/>
      <w:marLeft w:val="0"/>
      <w:marRight w:val="0"/>
      <w:marTop w:val="0"/>
      <w:marBottom w:val="0"/>
      <w:divBdr>
        <w:top w:val="none" w:sz="0" w:space="0" w:color="auto"/>
        <w:left w:val="none" w:sz="0" w:space="0" w:color="auto"/>
        <w:bottom w:val="none" w:sz="0" w:space="0" w:color="auto"/>
        <w:right w:val="none" w:sz="0" w:space="0" w:color="auto"/>
      </w:divBdr>
    </w:div>
    <w:div w:id="1686514596">
      <w:bodyDiv w:val="1"/>
      <w:marLeft w:val="0"/>
      <w:marRight w:val="0"/>
      <w:marTop w:val="0"/>
      <w:marBottom w:val="0"/>
      <w:divBdr>
        <w:top w:val="none" w:sz="0" w:space="0" w:color="auto"/>
        <w:left w:val="none" w:sz="0" w:space="0" w:color="auto"/>
        <w:bottom w:val="none" w:sz="0" w:space="0" w:color="auto"/>
        <w:right w:val="none" w:sz="0" w:space="0" w:color="auto"/>
      </w:divBdr>
    </w:div>
    <w:div w:id="1689022490">
      <w:bodyDiv w:val="1"/>
      <w:marLeft w:val="0"/>
      <w:marRight w:val="0"/>
      <w:marTop w:val="0"/>
      <w:marBottom w:val="0"/>
      <w:divBdr>
        <w:top w:val="none" w:sz="0" w:space="0" w:color="auto"/>
        <w:left w:val="none" w:sz="0" w:space="0" w:color="auto"/>
        <w:bottom w:val="none" w:sz="0" w:space="0" w:color="auto"/>
        <w:right w:val="none" w:sz="0" w:space="0" w:color="auto"/>
      </w:divBdr>
    </w:div>
    <w:div w:id="2041860279">
      <w:bodyDiv w:val="1"/>
      <w:marLeft w:val="0"/>
      <w:marRight w:val="0"/>
      <w:marTop w:val="0"/>
      <w:marBottom w:val="0"/>
      <w:divBdr>
        <w:top w:val="none" w:sz="0" w:space="0" w:color="auto"/>
        <w:left w:val="none" w:sz="0" w:space="0" w:color="auto"/>
        <w:bottom w:val="none" w:sz="0" w:space="0" w:color="auto"/>
        <w:right w:val="none" w:sz="0" w:space="0" w:color="auto"/>
      </w:divBdr>
    </w:div>
    <w:div w:id="2062512773">
      <w:bodyDiv w:val="1"/>
      <w:marLeft w:val="0"/>
      <w:marRight w:val="0"/>
      <w:marTop w:val="0"/>
      <w:marBottom w:val="0"/>
      <w:divBdr>
        <w:top w:val="none" w:sz="0" w:space="0" w:color="auto"/>
        <w:left w:val="none" w:sz="0" w:space="0" w:color="auto"/>
        <w:bottom w:val="none" w:sz="0" w:space="0" w:color="auto"/>
        <w:right w:val="none" w:sz="0" w:space="0" w:color="auto"/>
      </w:divBdr>
    </w:div>
    <w:div w:id="21060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A1695218EFDB34ABCEC1D8A5277E74E" ma:contentTypeVersion="4" ma:contentTypeDescription="Create a new document." ma:contentTypeScope="" ma:versionID="f71e97f49422bee66bd8cee92d9c234d">
  <xsd:schema xmlns:xsd="http://www.w3.org/2001/XMLSchema" xmlns:xs="http://www.w3.org/2001/XMLSchema" xmlns:p="http://schemas.microsoft.com/office/2006/metadata/properties" xmlns:ns2="55f734f0-82e3-448f-9814-59383e674136" targetNamespace="http://schemas.microsoft.com/office/2006/metadata/properties" ma:root="true" ma:fieldsID="4618fd2d04b46c7fdf405be2b66021ed" ns2:_="">
    <xsd:import namespace="55f734f0-82e3-448f-9814-59383e674136"/>
    <xsd:element name="properties">
      <xsd:complexType>
        <xsd:sequence>
          <xsd:element name="documentManagement">
            <xsd:complexType>
              <xsd:all>
                <xsd:element ref="ns2:_dlc_DocId" minOccurs="0"/>
                <xsd:element ref="ns2:_dlc_DocIdUrl" minOccurs="0"/>
                <xsd:element ref="ns2:_dlc_DocIdPersistId" minOccurs="0"/>
                <xsd:element ref="ns2:la465409791e42468d5f7b47ae5046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465409791e42468d5f7b47ae50468d" ma:index="12"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a465409791e42468d5f7b47ae50468d>
    <_dlc_DocId xmlns="55f734f0-82e3-448f-9814-59383e674136">ADXRF2XRTYKY-766683950-117</_dlc_DocId>
    <_dlc_DocIdUrl xmlns="55f734f0-82e3-448f-9814-59383e674136">
      <Url>https://dia.cohesion.net.nz/Sites/INQ/IVC/ESA/_layouts/15/DocIdRedir.aspx?ID=ADXRF2XRTYKY-766683950-117</Url>
      <Description>ADXRF2XRTYKY-766683950-117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4A93-CC4B-4210-813C-A905BB5C7374}">
  <ds:schemaRefs>
    <ds:schemaRef ds:uri="http://schemas.microsoft.com/sharepoint/events"/>
  </ds:schemaRefs>
</ds:datastoreItem>
</file>

<file path=customXml/itemProps2.xml><?xml version="1.0" encoding="utf-8"?>
<ds:datastoreItem xmlns:ds="http://schemas.openxmlformats.org/officeDocument/2006/customXml" ds:itemID="{908E24F3-1A36-4DC8-A4A1-69BAD6D7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F49CE-7D54-4CB3-B415-2A8E16D47B3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f734f0-82e3-448f-9814-59383e67413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63AFB72-7580-4FE2-8234-90ADFA773E0D}">
  <ds:schemaRefs>
    <ds:schemaRef ds:uri="http://schemas.microsoft.com/sharepoint/v3/contenttype/forms"/>
  </ds:schemaRefs>
</ds:datastoreItem>
</file>

<file path=customXml/itemProps5.xml><?xml version="1.0" encoding="utf-8"?>
<ds:datastoreItem xmlns:ds="http://schemas.openxmlformats.org/officeDocument/2006/customXml" ds:itemID="{179D80FC-D93C-4EEB-BF3D-5F7E71C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3164</Words>
  <Characters>18846</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Quarterly report Oct-Dec 2020 FINAL</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Oct-Dec 2020 FINAL</dc:title>
  <dc:subject/>
  <dc:creator>Cheryl Chaplin</dc:creator>
  <cp:keywords/>
  <dc:description/>
  <cp:lastModifiedBy>Catherine Murray</cp:lastModifiedBy>
  <cp:revision>2</cp:revision>
  <cp:lastPrinted>2021-07-27T02:09:00Z</cp:lastPrinted>
  <dcterms:created xsi:type="dcterms:W3CDTF">2021-08-16T19:41:00Z</dcterms:created>
  <dcterms:modified xsi:type="dcterms:W3CDTF">2021-08-16T19:41:00Z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0x010100AA1695218EFDB34ABCEC1D8A5277E74E</vt:lpwstr>
  </property>
  <property fmtid="{D5CDD505-2E9C-101B-9397-08002B2CF9AE}" pid="3" name="f6a63413ce3d46c4a0c4711f8ed8587d">
    <vt:lpwstr>Correspondence|dcd6b05f-dc80-4336-b228-09aebf3d212c</vt:lpwstr>
  </property>
  <property fmtid="{D5CDD505-2E9C-101B-9397-08002B2CF9AE}" pid="4" name="_dlc_DocIdItemGuid">
    <vt:lpwstr>43ecc712-c151-4db8-9cac-96cd041f01ff</vt:lpwstr>
  </property>
  <property fmtid="{D5CDD505-2E9C-101B-9397-08002B2CF9AE}" pid="5" name="TaxKeyword">
    <vt:lpwstr/>
  </property>
  <property fmtid="{D5CDD505-2E9C-101B-9397-08002B2CF9AE}" pid="6" name="TaxCatchAll">
    <vt:lpwstr>5;#Correspondence|dcd6b05f-dc80-4336-b228-09aebf3d212c;#12;#IN-CONFIDENCE|cf9276f4-acb3-404d-a80d-53cc76a30125</vt:lpwstr>
  </property>
  <property fmtid="{D5CDD505-2E9C-101B-9397-08002B2CF9AE}" pid="7" name="TaxKeywordTaxHTField">
    <vt:lpwstr/>
  </property>
  <property fmtid="{D5CDD505-2E9C-101B-9397-08002B2CF9AE}" pid="8" name="C3Topic">
    <vt:lpwstr/>
  </property>
  <property fmtid="{D5CDD505-2E9C-101B-9397-08002B2CF9AE}" pid="9" name="C3TopicNote">
    <vt:lpwstr/>
  </property>
  <property fmtid="{D5CDD505-2E9C-101B-9397-08002B2CF9AE}" pid="10" name="DIASecurityClassification">
    <vt:lpwstr>12;#IN-CONFIDENCE|cf9276f4-acb3-404d-a80d-53cc76a30125</vt:lpwstr>
  </property>
  <property fmtid="{D5CDD505-2E9C-101B-9397-08002B2CF9AE}" pid="11" name="DIAEmailContentType">
    <vt:lpwstr>5;#Correspondence|dcd6b05f-dc80-4336-b228-09aebf3d212c</vt:lpwstr>
  </property>
  <property fmtid="{D5CDD505-2E9C-101B-9397-08002B2CF9AE}" pid="12" name="SharedWithUsers">
    <vt:lpwstr>597;#Erica Nicholls</vt:lpwstr>
  </property>
</Properties>
</file>